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9398.xml.htm"/>
      <w:bookmarkStart w:id="1" w:name="kswkform4_17822493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Burns James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 SIDNEY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AGIOS PHARMACEUTICALS, INC.</w:t>
              </w:r>
            </w:hyperlink>
            <w:r>
              <w:rPr/>
              <w:t xml:space="preserve"> [ </w:t>
            </w:r>
            <w:r>
              <w:rPr>
                <w:rFonts w:ascii="Times;serif" w:hAnsi="Times;serif"/>
                <w:color w:val="0000FF"/>
                <w:sz w:val="24"/>
                <w:shd w:fill="FFFFFF" w:val="clear"/>
              </w:rPr>
              <w:t>AGIO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Performance stock units were granted on March 1, 2025, and provide for the vesting of underlying shares upon the achievement of three specified clinical and research milestones established by the compensation &amp; people committee, or board of directors, as applicable. The performance criteria for the specified research milestone was determined by the compensation &amp; people committee to be met as of June 18, 2026. The shares related to such milestone will vest on December 31, 2027, subject to the recipient's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Cook, as Attorney in Fact for James Burns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0772" TargetMode="External"/><Relationship Id="rId5" Type="http://schemas.openxmlformats.org/officeDocument/2006/relationships/hyperlink" Target="http://www.sec.gov/cgi-bin/browse-edgar?action=getcompany&amp;CIK=0001439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3807</Characters>
  <CharactersWithSpaces>4439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