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57571ds8.htm"/>
      <w:bookmarkStart w:id="1" w:name="ksd57571ds8"/>
      <w:bookmarkEnd w:id="0"/>
      <w:bookmarkEnd w:id="1"/>
      <w:r>
        <w:rPr>
          <w:rFonts w:ascii="Times New Roman" w:hAnsi="Times New Roman"/>
          <w:b/>
          <w:sz w:val="20"/>
        </w:rPr>
        <w:t xml:space="preserve">As filed with the Securities and Exchange Commission on June 18,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Agios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26-0662915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88 Sidney Street</w:t>
            </w:r>
          </w:p>
          <w:p>
            <w:pPr>
              <w:pStyle w:val="TableContents"/>
              <w:bidi w:val="0"/>
              <w:spacing w:before="0" w:after="20"/>
              <w:jc w:val="center"/>
              <w:rPr>
                <w:rFonts w:ascii="Times New Roman" w:hAnsi="Times New Roman"/>
                <w:b/>
                <w:sz w:val="20"/>
              </w:rPr>
            </w:pPr>
            <w:r>
              <w:rPr>
                <w:rFonts w:ascii="Times New Roman" w:hAnsi="Times New Roman"/>
                <w:b/>
                <w:sz w:val="20"/>
              </w:rPr>
              <w:t>Cambridge, MA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02139</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2023 Stock Incentive Plan, as amended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Brian Goff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Agios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88 Sidney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02139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(617) 649-8600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 xml:space="preserve">This Registration Statement on Form S-8, relating to the 2023 Stock Incentive Plan, as amended, of Agios Pharmaceuticals, Inc. (the “Registrant”), is being filed for the purpose of registering additional securities of the same class as other securities for which a Registration Statement on Form S-8 has previously been filed and is effective. Accordingly, this Registration Statement incorporates by reference the contents of (i) the Registration Statement on Form S-8, File No.  </w:t>
      </w:r>
      <w:hyperlink r:id="rId2">
        <w:r>
          <w:rPr>
            <w:rStyle w:val="InternetLink"/>
            <w:rFonts w:ascii="Times New Roman" w:hAnsi="Times New Roman"/>
            <w:sz w:val="20"/>
          </w:rPr>
          <w:t>333-272615</w:t>
        </w:r>
      </w:hyperlink>
      <w:r>
        <w:rPr>
          <w:rFonts w:ascii="Times New Roman" w:hAnsi="Times New Roman"/>
          <w:sz w:val="20"/>
        </w:rPr>
        <w:t>, filed with the Securities and Exchange Commission on June 13, 2023, by the Registrant, relating to the Registrant’s 2023 Stock Incentive Plan, and (ii) the Registration Statement on Form S-8, File No. </w:t>
      </w:r>
      <w:hyperlink r:id="rId3">
        <w:r>
          <w:rPr>
            <w:rStyle w:val="InternetLink"/>
            <w:rFonts w:ascii="Times New Roman" w:hAnsi="Times New Roman"/>
            <w:sz w:val="20"/>
          </w:rPr>
          <w:t>333-288151</w:t>
        </w:r>
      </w:hyperlink>
      <w:r>
        <w:rPr>
          <w:rFonts w:ascii="Times New Roman" w:hAnsi="Times New Roman"/>
          <w:sz w:val="20"/>
        </w:rPr>
        <w:t xml:space="preserve">, filed with the Securities and Exchange Commission on June 18, 2025, by the Registrant, relating to the Registrant’s 2023 Stock Incentive Plan, as amended, in each case except for Item 8, Exhibits.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
        <w:gridCol w:w="222"/>
        <w:gridCol w:w="3752"/>
        <w:gridCol w:w="163"/>
        <w:gridCol w:w="599"/>
        <w:gridCol w:w="163"/>
        <w:gridCol w:w="906"/>
        <w:gridCol w:w="163"/>
        <w:gridCol w:w="1433"/>
        <w:gridCol w:w="163"/>
        <w:gridCol w:w="875"/>
        <w:gridCol w:w="163"/>
        <w:gridCol w:w="992"/>
      </w:tblGrid>
      <w:tr>
        <w:trPr/>
        <w:tc>
          <w:tcPr>
            <w:tcW w:w="61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611" w:type="dxa"/>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22" w:type="dxa"/>
            <w:vMerge w:val="restart"/>
            <w:tcBorders/>
            <w:vAlign w:val="bottom"/>
          </w:tcPr>
          <w:p>
            <w:pPr>
              <w:pStyle w:val="TableContents"/>
              <w:bidi w:val="0"/>
              <w:spacing w:before="0" w:after="283"/>
              <w:jc w:val="left"/>
              <w:rPr/>
            </w:pPr>
            <w:r>
              <w:rPr/>
              <w:t>  </w:t>
            </w:r>
          </w:p>
        </w:tc>
        <w:tc>
          <w:tcPr>
            <w:tcW w:w="3752"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c>
          <w:tcPr>
            <w:tcW w:w="163" w:type="dxa"/>
            <w:tcBorders/>
            <w:vAlign w:val="bottom"/>
          </w:tcPr>
          <w:p>
            <w:pPr>
              <w:pStyle w:val="TableContents"/>
              <w:bidi w:val="0"/>
              <w:spacing w:before="0" w:after="283"/>
              <w:jc w:val="left"/>
              <w:rPr/>
            </w:pPr>
            <w:r>
              <w:rPr/>
              <w:t>  </w:t>
            </w:r>
          </w:p>
        </w:tc>
        <w:tc>
          <w:tcPr>
            <w:tcW w:w="4302" w:type="dxa"/>
            <w:gridSpan w:val="7"/>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pPr>
            <w:r>
              <w:rPr/>
              <w:t> </w:t>
            </w:r>
          </w:p>
        </w:tc>
      </w:tr>
      <w:tr>
        <w:trPr/>
        <w:tc>
          <w:tcPr>
            <w:tcW w:w="611" w:type="dxa"/>
            <w:vMerge w:val="continue"/>
            <w:tcBorders/>
            <w:vAlign w:val="bottom"/>
          </w:tcPr>
          <w:p>
            <w:pPr>
              <w:pStyle w:val="Normal"/>
              <w:bidi w:val="0"/>
              <w:jc w:val="left"/>
              <w:rPr/>
            </w:pPr>
            <w:r>
              <w:rPr/>
            </w:r>
          </w:p>
        </w:tc>
        <w:tc>
          <w:tcPr>
            <w:tcW w:w="222" w:type="dxa"/>
            <w:vMerge w:val="continue"/>
            <w:tcBorders/>
            <w:vAlign w:val="bottom"/>
          </w:tcPr>
          <w:p>
            <w:pPr>
              <w:pStyle w:val="Normal"/>
              <w:bidi w:val="0"/>
              <w:jc w:val="left"/>
              <w:rPr/>
            </w:pPr>
            <w:r>
              <w:rPr/>
            </w:r>
          </w:p>
        </w:tc>
        <w:tc>
          <w:tcPr>
            <w:tcW w:w="3752" w:type="dxa"/>
            <w:vMerge w:val="continue"/>
            <w:tcBorders>
              <w:bottom w:val="single" w:sz="8" w:space="0" w:color="000000"/>
            </w:tcBorders>
            <w:tcMar>
              <w:bottom w:w="28" w:type="dxa"/>
            </w:tcMar>
            <w:vAlign w:val="bottom"/>
          </w:tcPr>
          <w:p>
            <w:pPr>
              <w:pStyle w:val="Normal"/>
              <w:bidi w:val="0"/>
              <w:jc w:val="left"/>
              <w:rPr/>
            </w:pPr>
            <w:r>
              <w:rPr/>
            </w:r>
          </w:p>
        </w:tc>
        <w:tc>
          <w:tcPr>
            <w:tcW w:w="163"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63" w:type="dxa"/>
            <w:tcBorders/>
            <w:vAlign w:val="bottom"/>
          </w:tcPr>
          <w:p>
            <w:pPr>
              <w:pStyle w:val="TableContents"/>
              <w:bidi w:val="0"/>
              <w:spacing w:before="0" w:after="283"/>
              <w:jc w:val="left"/>
              <w:rPr/>
            </w:pPr>
            <w:r>
              <w:rPr/>
              <w:t>  </w:t>
            </w:r>
          </w:p>
        </w:tc>
        <w:tc>
          <w:tcPr>
            <w:tcW w:w="906"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63" w:type="dxa"/>
            <w:tcBorders/>
            <w:vAlign w:val="bottom"/>
          </w:tcPr>
          <w:p>
            <w:pPr>
              <w:pStyle w:val="TableContents"/>
              <w:bidi w:val="0"/>
              <w:spacing w:before="0" w:after="283"/>
              <w:jc w:val="left"/>
              <w:rPr/>
            </w:pPr>
            <w:r>
              <w:rPr/>
              <w:t>  </w:t>
            </w:r>
          </w:p>
        </w:tc>
        <w:tc>
          <w:tcPr>
            <w:tcW w:w="1433" w:type="dxa"/>
            <w:tcBorders>
              <w:bottom w:val="single" w:sz="8" w:space="0" w:color="000000"/>
            </w:tcBorders>
            <w:tcMar>
              <w:bottom w:w="28" w:type="dxa"/>
            </w:tcMar>
            <w:vAlign w:val="bottom"/>
          </w:tcPr>
          <w:p>
            <w:pPr>
              <w:pStyle w:val="TableContents"/>
              <w:bidi w:val="0"/>
              <w:spacing w:before="0" w:after="283"/>
              <w:jc w:val="center"/>
              <w:rPr>
                <w:b/>
              </w:rPr>
            </w:pPr>
            <w:r>
              <w:rPr>
                <w:b/>
              </w:rPr>
              <w:t>Date of Filing</w:t>
            </w:r>
          </w:p>
        </w:tc>
        <w:tc>
          <w:tcPr>
            <w:tcW w:w="163" w:type="dxa"/>
            <w:tcBorders/>
            <w:vAlign w:val="bottom"/>
          </w:tcPr>
          <w:p>
            <w:pPr>
              <w:pStyle w:val="TableContents"/>
              <w:bidi w:val="0"/>
              <w:spacing w:before="0" w:after="283"/>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63" w:type="dxa"/>
            <w:tcBorders/>
            <w:vAlign w:val="bottom"/>
          </w:tcPr>
          <w:p>
            <w:pPr>
              <w:pStyle w:val="TableContents"/>
              <w:bidi w:val="0"/>
              <w:spacing w:before="0" w:after="283"/>
              <w:jc w:val="left"/>
              <w:rPr/>
            </w:pPr>
            <w:r>
              <w:rPr/>
              <w:t>  </w:t>
            </w:r>
          </w:p>
        </w:tc>
        <w:tc>
          <w:tcPr>
            <w:tcW w:w="992"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4.1</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r:id="rId4">
              <w:r>
                <w:rPr>
                  <w:rStyle w:val="InternetLink"/>
                </w:rPr>
                <w:t xml:space="preserve">Restated Certificate of Incorporation of the Registrant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8-K</w:t>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001-36014</w:t>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center"/>
              <w:rPr/>
            </w:pPr>
            <w:r>
              <w:rPr/>
              <w:t>July 30, 2013</w:t>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3.1</w:t>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4.2</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r:id="rId5">
              <w:r>
                <w:rPr>
                  <w:rStyle w:val="InternetLink"/>
                </w:rPr>
                <w:t xml:space="preserve">Third Amended and Restated By-Laws of the Registrant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8-K</w:t>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001-36014</w:t>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center"/>
              <w:rPr/>
            </w:pPr>
            <w:r>
              <w:rPr/>
              <w:t>March 3, 2023</w:t>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center"/>
              <w:rPr/>
            </w:pPr>
            <w:r>
              <w:rPr/>
              <w:t>3.1</w:t>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5.1</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d57571dex51.htm">
              <w:r>
                <w:rPr>
                  <w:rStyle w:val="InternetLink"/>
                </w:rPr>
                <w:t xml:space="preserve">Opinion of Wilmer Cutler Pickering Hale and Dorr LLP, counsel to the Registrant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23.1</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d57571dex51.htm">
              <w:r>
                <w:rPr>
                  <w:rStyle w:val="InternetLink"/>
                </w:rPr>
                <w:t xml:space="preserve">Consent of Wilmer Cutler Pickering Hale and Dorr LLP (included in Exhibit 5.1)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23.2</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d57571dex232.htm">
              <w:r>
                <w:rPr>
                  <w:rStyle w:val="InternetLink"/>
                </w:rPr>
                <w:t xml:space="preserve">Consent of PricewaterhouseCoopers LLP, an independent registered public accounting firm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24.1</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sig">
              <w:r>
                <w:rPr>
                  <w:rStyle w:val="InternetLink"/>
                </w:rPr>
                <w:t xml:space="preserve">Power of attorney (included on the signature pages of this registration statement)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 </w:t>
            </w:r>
            <w:r>
              <w:rPr/>
              <w:t>99.1</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d57571dex991.htm">
              <w:r>
                <w:rPr>
                  <w:rStyle w:val="InternetLink"/>
                </w:rPr>
                <w:t xml:space="preserve">2023 Stock Incentive Plan, as amended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r>
        <w:trPr>
          <w:trHeight w:val="120" w:hRule="atLeast"/>
        </w:trPr>
        <w:tc>
          <w:tcPr>
            <w:tcW w:w="611" w:type="dxa"/>
            <w:tcBorders/>
            <w:vAlign w:val="center"/>
          </w:tcPr>
          <w:p>
            <w:pPr>
              <w:pStyle w:val="TableContents"/>
              <w:bidi w:val="0"/>
              <w:spacing w:before="0" w:after="283"/>
              <w:jc w:val="left"/>
              <w:rPr>
                <w:sz w:val="4"/>
                <w:szCs w:val="4"/>
              </w:rPr>
            </w:pPr>
            <w:r>
              <w:rPr>
                <w:sz w:val="4"/>
                <w:szCs w:val="4"/>
              </w:rPr>
            </w:r>
          </w:p>
        </w:tc>
        <w:tc>
          <w:tcPr>
            <w:tcW w:w="3974" w:type="dxa"/>
            <w:gridSpan w:val="2"/>
            <w:tcBorders/>
            <w:vAlign w:val="center"/>
          </w:tcPr>
          <w:p>
            <w:pPr>
              <w:pStyle w:val="TableContents"/>
              <w:bidi w:val="0"/>
              <w:spacing w:before="0" w:after="283"/>
              <w:jc w:val="left"/>
              <w:rPr>
                <w:sz w:val="4"/>
                <w:szCs w:val="4"/>
              </w:rPr>
            </w:pPr>
            <w:r>
              <w:rPr>
                <w:sz w:val="4"/>
                <w:szCs w:val="4"/>
              </w:rPr>
            </w:r>
          </w:p>
        </w:tc>
        <w:tc>
          <w:tcPr>
            <w:tcW w:w="762"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c>
          <w:tcPr>
            <w:tcW w:w="1596" w:type="dxa"/>
            <w:gridSpan w:val="2"/>
            <w:tcBorders/>
            <w:vAlign w:val="center"/>
          </w:tcPr>
          <w:p>
            <w:pPr>
              <w:pStyle w:val="TableContents"/>
              <w:bidi w:val="0"/>
              <w:spacing w:before="0" w:after="283"/>
              <w:jc w:val="left"/>
              <w:rPr>
                <w:sz w:val="4"/>
                <w:szCs w:val="4"/>
              </w:rPr>
            </w:pPr>
            <w:r>
              <w:rPr>
                <w:sz w:val="4"/>
                <w:szCs w:val="4"/>
              </w:rPr>
            </w:r>
          </w:p>
        </w:tc>
        <w:tc>
          <w:tcPr>
            <w:tcW w:w="1038" w:type="dxa"/>
            <w:gridSpan w:val="2"/>
            <w:tcBorders/>
            <w:vAlign w:val="center"/>
          </w:tcPr>
          <w:p>
            <w:pPr>
              <w:pStyle w:val="TableContents"/>
              <w:bidi w:val="0"/>
              <w:spacing w:before="0" w:after="283"/>
              <w:jc w:val="left"/>
              <w:rPr>
                <w:sz w:val="4"/>
                <w:szCs w:val="4"/>
              </w:rPr>
            </w:pPr>
            <w:r>
              <w:rPr>
                <w:sz w:val="4"/>
                <w:szCs w:val="4"/>
              </w:rPr>
            </w:r>
          </w:p>
        </w:tc>
        <w:tc>
          <w:tcPr>
            <w:tcW w:w="1155" w:type="dxa"/>
            <w:gridSpan w:val="2"/>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107</w:t>
            </w:r>
          </w:p>
        </w:tc>
        <w:tc>
          <w:tcPr>
            <w:tcW w:w="222" w:type="dxa"/>
            <w:tcBorders/>
            <w:vAlign w:val="bottom"/>
          </w:tcPr>
          <w:p>
            <w:pPr>
              <w:pStyle w:val="TableContents"/>
              <w:bidi w:val="0"/>
              <w:spacing w:before="0" w:after="283"/>
              <w:jc w:val="left"/>
              <w:rPr/>
            </w:pPr>
            <w:r>
              <w:rPr/>
              <w:t>  </w:t>
            </w:r>
          </w:p>
        </w:tc>
        <w:tc>
          <w:tcPr>
            <w:tcW w:w="3752" w:type="dxa"/>
            <w:tcBorders/>
          </w:tcPr>
          <w:p>
            <w:pPr>
              <w:pStyle w:val="TableContents"/>
              <w:bidi w:val="0"/>
              <w:spacing w:before="0" w:after="283"/>
              <w:jc w:val="left"/>
              <w:rPr/>
            </w:pPr>
            <w:hyperlink w:anchor="d57571dexfilingfees.htm">
              <w:r>
                <w:rPr>
                  <w:rStyle w:val="InternetLink"/>
                </w:rPr>
                <w:t xml:space="preserve">Calculation of Filing Fee Tables </w:t>
              </w:r>
            </w:hyperlink>
          </w:p>
        </w:tc>
        <w:tc>
          <w:tcPr>
            <w:tcW w:w="163"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center"/>
              <w:rPr/>
            </w:pPr>
            <w:r>
              <w:rPr/>
              <w:t>X</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18th day of June,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AGIOS PHARMACEUTICALS,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Brian Goff</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Brian Goff</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Agios Pharmaceuticals, Inc., hereby severally constitute and appoint Brian Goff, Cecilia Jones and James Burns,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Agios Pharmaceuticals,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7"/>
        <w:gridCol w:w="120"/>
        <w:gridCol w:w="4364"/>
        <w:gridCol w:w="107"/>
        <w:gridCol w:w="1817"/>
      </w:tblGrid>
      <w:tr>
        <w:trPr/>
        <w:tc>
          <w:tcPr>
            <w:tcW w:w="37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1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Brian Goff</w:t>
            </w:r>
          </w:p>
          <w:p>
            <w:pPr>
              <w:pStyle w:val="TableContents"/>
              <w:bidi w:val="0"/>
              <w:spacing w:before="0" w:after="20"/>
              <w:jc w:val="left"/>
              <w:rPr>
                <w:rFonts w:ascii="Times New Roman" w:hAnsi="Times New Roman"/>
                <w:sz w:val="20"/>
              </w:rPr>
            </w:pPr>
            <w:r>
              <w:rPr>
                <w:rFonts w:ascii="Times New Roman" w:hAnsi="Times New Roman"/>
                <w:sz w:val="20"/>
              </w:rPr>
              <w:t>Brian Goff</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Cecilia Jones</w:t>
            </w:r>
          </w:p>
          <w:p>
            <w:pPr>
              <w:pStyle w:val="TableContents"/>
              <w:bidi w:val="0"/>
              <w:spacing w:before="0" w:after="20"/>
              <w:jc w:val="left"/>
              <w:rPr>
                <w:rFonts w:ascii="Times New Roman" w:hAnsi="Times New Roman"/>
                <w:sz w:val="20"/>
              </w:rPr>
            </w:pPr>
            <w:r>
              <w:rPr>
                <w:rFonts w:ascii="Times New Roman" w:hAnsi="Times New Roman"/>
                <w:sz w:val="20"/>
              </w:rPr>
              <w:t>Cecilia Jones</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T.J. Washburn</w:t>
            </w:r>
          </w:p>
          <w:p>
            <w:pPr>
              <w:pStyle w:val="TableContents"/>
              <w:bidi w:val="0"/>
              <w:spacing w:before="0" w:after="20"/>
              <w:jc w:val="left"/>
              <w:rPr>
                <w:rFonts w:ascii="Times New Roman" w:hAnsi="Times New Roman"/>
                <w:sz w:val="20"/>
              </w:rPr>
            </w:pPr>
            <w:r>
              <w:rPr>
                <w:rFonts w:ascii="Times New Roman" w:hAnsi="Times New Roman"/>
                <w:sz w:val="20"/>
              </w:rPr>
              <w:t>T.J. Washburn</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Controller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Jacqualyn A. Fouse</w:t>
            </w:r>
          </w:p>
          <w:p>
            <w:pPr>
              <w:pStyle w:val="TableContents"/>
              <w:bidi w:val="0"/>
              <w:spacing w:before="0" w:after="20"/>
              <w:jc w:val="left"/>
              <w:rPr>
                <w:rFonts w:ascii="Times New Roman" w:hAnsi="Times New Roman"/>
                <w:sz w:val="20"/>
              </w:rPr>
            </w:pPr>
            <w:r>
              <w:rPr>
                <w:rFonts w:ascii="Times New Roman" w:hAnsi="Times New Roman"/>
                <w:sz w:val="20"/>
              </w:rPr>
              <w:t>Jacqualyn A. Fouse, Ph.D.</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Chair of the Board of Directors</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Jay Backstrom</w:t>
            </w:r>
          </w:p>
          <w:p>
            <w:pPr>
              <w:pStyle w:val="TableContents"/>
              <w:bidi w:val="0"/>
              <w:spacing w:before="0" w:after="20"/>
              <w:jc w:val="left"/>
              <w:rPr>
                <w:rFonts w:ascii="Times New Roman" w:hAnsi="Times New Roman"/>
                <w:sz w:val="20"/>
              </w:rPr>
            </w:pPr>
            <w:r>
              <w:rPr>
                <w:rFonts w:ascii="Times New Roman" w:hAnsi="Times New Roman"/>
                <w:sz w:val="20"/>
              </w:rPr>
              <w:t>Jay Backstrom, M.D., M.P.H.</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Rahul Ballal</w:t>
            </w:r>
          </w:p>
          <w:p>
            <w:pPr>
              <w:pStyle w:val="TableContents"/>
              <w:bidi w:val="0"/>
              <w:spacing w:before="0" w:after="20"/>
              <w:jc w:val="left"/>
              <w:rPr>
                <w:rFonts w:ascii="Times New Roman" w:hAnsi="Times New Roman"/>
                <w:sz w:val="20"/>
              </w:rPr>
            </w:pPr>
            <w:r>
              <w:rPr>
                <w:rFonts w:ascii="Times New Roman" w:hAnsi="Times New Roman"/>
                <w:sz w:val="20"/>
              </w:rPr>
              <w:t>Rahul Ballal, Ph.D.</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Capello</w:t>
            </w:r>
          </w:p>
          <w:p>
            <w:pPr>
              <w:pStyle w:val="TableContents"/>
              <w:bidi w:val="0"/>
              <w:spacing w:before="0" w:after="20"/>
              <w:jc w:val="left"/>
              <w:rPr>
                <w:rFonts w:ascii="Times New Roman" w:hAnsi="Times New Roman"/>
                <w:sz w:val="20"/>
              </w:rPr>
            </w:pPr>
            <w:r>
              <w:rPr>
                <w:rFonts w:ascii="Times New Roman" w:hAnsi="Times New Roman"/>
                <w:sz w:val="20"/>
              </w:rPr>
              <w:t>Jeffrey Capello</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7" w:type="dxa"/>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79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Kaye Foster</w:t>
            </w:r>
          </w:p>
          <w:p>
            <w:pPr>
              <w:pStyle w:val="TableContents"/>
              <w:bidi w:val="0"/>
              <w:spacing w:before="0" w:after="20"/>
              <w:jc w:val="left"/>
              <w:rPr>
                <w:rFonts w:ascii="Times New Roman" w:hAnsi="Times New Roman"/>
                <w:sz w:val="20"/>
              </w:rPr>
            </w:pPr>
            <w:r>
              <w:rPr>
                <w:rFonts w:ascii="Times New Roman" w:hAnsi="Times New Roman"/>
                <w:sz w:val="20"/>
              </w:rPr>
              <w:t>Kaye Foster</w:t>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795"/>
        <w:gridCol w:w="120"/>
        <w:gridCol w:w="4365"/>
        <w:gridCol w:w="108"/>
        <w:gridCol w:w="1817"/>
      </w:tblGrid>
      <w:tr>
        <w:trPr/>
        <w:tc>
          <w:tcPr>
            <w:tcW w:w="3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Maykin Ho</w:t>
            </w:r>
          </w:p>
          <w:p>
            <w:pPr>
              <w:pStyle w:val="TableContents"/>
              <w:bidi w:val="0"/>
              <w:spacing w:before="0" w:after="20"/>
              <w:jc w:val="left"/>
              <w:rPr>
                <w:rFonts w:ascii="Times New Roman" w:hAnsi="Times New Roman"/>
                <w:sz w:val="20"/>
              </w:rPr>
            </w:pPr>
            <w:r>
              <w:rPr>
                <w:rFonts w:ascii="Times New Roman" w:hAnsi="Times New Roman"/>
                <w:sz w:val="20"/>
              </w:rPr>
              <w:t>Maykin Ho, Ph.D.</w:t>
            </w:r>
          </w:p>
        </w:tc>
        <w:tc>
          <w:tcPr>
            <w:tcW w:w="120" w:type="dxa"/>
            <w:tcBorders/>
            <w:vAlign w:val="bottom"/>
          </w:tcPr>
          <w:p>
            <w:pPr>
              <w:pStyle w:val="TableContents"/>
              <w:bidi w:val="0"/>
              <w:spacing w:before="0" w:after="283"/>
              <w:jc w:val="left"/>
              <w:rPr/>
            </w:pPr>
            <w:r>
              <w:rPr/>
              <w:t>  </w:t>
            </w:r>
          </w:p>
        </w:tc>
        <w:tc>
          <w:tcPr>
            <w:tcW w:w="4365"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85"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Catherine Owen Adams</w:t>
            </w:r>
          </w:p>
          <w:p>
            <w:pPr>
              <w:pStyle w:val="TableContents"/>
              <w:bidi w:val="0"/>
              <w:spacing w:before="0" w:after="20"/>
              <w:jc w:val="left"/>
              <w:rPr>
                <w:rFonts w:ascii="Times New Roman" w:hAnsi="Times New Roman"/>
                <w:sz w:val="20"/>
              </w:rPr>
            </w:pPr>
            <w:r>
              <w:rPr>
                <w:rFonts w:ascii="Times New Roman" w:hAnsi="Times New Roman"/>
                <w:sz w:val="20"/>
              </w:rPr>
              <w:t>Catherine Owen Adams</w:t>
            </w:r>
          </w:p>
        </w:tc>
        <w:tc>
          <w:tcPr>
            <w:tcW w:w="120" w:type="dxa"/>
            <w:tcBorders/>
            <w:vAlign w:val="bottom"/>
          </w:tcPr>
          <w:p>
            <w:pPr>
              <w:pStyle w:val="TableContents"/>
              <w:bidi w:val="0"/>
              <w:spacing w:before="0" w:after="283"/>
              <w:jc w:val="left"/>
              <w:rPr/>
            </w:pPr>
            <w:r>
              <w:rPr/>
              <w:t>  </w:t>
            </w:r>
          </w:p>
        </w:tc>
        <w:tc>
          <w:tcPr>
            <w:tcW w:w="4365"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85"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Scadden</w:t>
            </w:r>
          </w:p>
          <w:p>
            <w:pPr>
              <w:pStyle w:val="TableContents"/>
              <w:bidi w:val="0"/>
              <w:spacing w:before="0" w:after="20"/>
              <w:jc w:val="left"/>
              <w:rPr>
                <w:rFonts w:ascii="Times New Roman" w:hAnsi="Times New Roman"/>
                <w:sz w:val="20"/>
              </w:rPr>
            </w:pPr>
            <w:r>
              <w:rPr>
                <w:rFonts w:ascii="Times New Roman" w:hAnsi="Times New Roman"/>
                <w:sz w:val="20"/>
              </w:rPr>
              <w:t>David Scadden, M.D.</w:t>
            </w:r>
          </w:p>
        </w:tc>
        <w:tc>
          <w:tcPr>
            <w:tcW w:w="120" w:type="dxa"/>
            <w:tcBorders/>
            <w:vAlign w:val="bottom"/>
          </w:tcPr>
          <w:p>
            <w:pPr>
              <w:pStyle w:val="TableContents"/>
              <w:bidi w:val="0"/>
              <w:spacing w:before="0" w:after="283"/>
              <w:jc w:val="left"/>
              <w:rPr/>
            </w:pPr>
            <w:r>
              <w:rPr/>
              <w:t>  </w:t>
            </w:r>
          </w:p>
        </w:tc>
        <w:tc>
          <w:tcPr>
            <w:tcW w:w="4365"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85"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Cynthia Smith</w:t>
            </w:r>
          </w:p>
          <w:p>
            <w:pPr>
              <w:pStyle w:val="TableContents"/>
              <w:bidi w:val="0"/>
              <w:spacing w:before="0" w:after="20"/>
              <w:jc w:val="left"/>
              <w:rPr>
                <w:rFonts w:ascii="Times New Roman" w:hAnsi="Times New Roman"/>
                <w:sz w:val="20"/>
              </w:rPr>
            </w:pPr>
            <w:r>
              <w:rPr>
                <w:rFonts w:ascii="Times New Roman" w:hAnsi="Times New Roman"/>
                <w:sz w:val="20"/>
              </w:rPr>
              <w:t>Cynthia Smith</w:t>
            </w:r>
          </w:p>
        </w:tc>
        <w:tc>
          <w:tcPr>
            <w:tcW w:w="120" w:type="dxa"/>
            <w:tcBorders/>
            <w:vAlign w:val="bottom"/>
          </w:tcPr>
          <w:p>
            <w:pPr>
              <w:pStyle w:val="TableContents"/>
              <w:bidi w:val="0"/>
              <w:spacing w:before="0" w:after="283"/>
              <w:jc w:val="left"/>
              <w:rPr/>
            </w:pPr>
            <w:r>
              <w:rPr/>
              <w:t>  </w:t>
            </w:r>
          </w:p>
        </w:tc>
        <w:tc>
          <w:tcPr>
            <w:tcW w:w="4365"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817" w:type="dxa"/>
            <w:tcBorders/>
          </w:tcPr>
          <w:p>
            <w:pPr>
              <w:pStyle w:val="TableContents"/>
              <w:bidi w:val="0"/>
              <w:spacing w:before="0" w:after="283"/>
              <w:jc w:val="left"/>
              <w:rPr/>
            </w:pPr>
            <w:r>
              <w:rPr/>
              <w:t>June 18, 2026</w:t>
            </w:r>
          </w:p>
        </w:tc>
      </w:tr>
    </w:tbl>
    <w:p>
      <w:pPr>
        <w:pStyle w:val="TextBody"/>
        <w:bidi w:val="0"/>
        <w:spacing w:before="0" w:after="0"/>
        <w:jc w:val="right"/>
        <w:rPr>
          <w:rFonts w:ascii="Times New Roman" w:hAnsi="Times New Roman"/>
          <w:b/>
          <w:sz w:val="20"/>
        </w:rPr>
      </w:pPr>
      <w:bookmarkStart w:id="3" w:name="d57571dex51.htm"/>
      <w:bookmarkStart w:id="4" w:name="ksd57571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372235" cy="12407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372235" cy="12407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June 18, 2026 </w:t>
      </w:r>
    </w:p>
    <w:p>
      <w:pPr>
        <w:pStyle w:val="TextBody"/>
        <w:bidi w:val="0"/>
        <w:spacing w:before="240" w:after="0"/>
        <w:jc w:val="left"/>
        <w:rPr>
          <w:rFonts w:ascii="Times New Roman" w:hAnsi="Times New Roman"/>
          <w:sz w:val="20"/>
        </w:rPr>
      </w:pPr>
      <w:r>
        <w:rPr>
          <w:rFonts w:ascii="Times New Roman" w:hAnsi="Times New Roman"/>
          <w:sz w:val="20"/>
        </w:rPr>
        <w:t xml:space="preserve">Agios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88 Sidney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on Form S-8: 2023 Stock Incentive Plan, as amended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assisted in the preparation of a Registration Statement on Form S-8 (the “Registration Statement”) to be filed with the Securities and Exchange Commission (the “Commission”) under the Securities Act of 1933, as amended (the “Securities Act”), relating to an aggregate of 2,000,000 additional shares of common stock, $0.001 par value per share (the “Shares”), of Agios Pharmaceuticals, Inc., a Delaware corporation (the “Company”), issuable under the Company’s 2023 Stock Incentive Plan, as amended (the “Plan”).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 and such other documents relating to the Company as we have deemed material for the purposes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We assume that the appropriate action will be taken, prior to the offer and sale of the Shares in accordance with the Plan, to register and qualify the Shares for sale under all applicable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for issuance and, when the Shares are issued and paid for in accordance with the terms and conditions of the Plan, the Shares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June 18,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WILMER CUTLER PICKERING HALE</w:t>
            </w:r>
          </w:p>
        </w:tc>
      </w:tr>
      <w:tr>
        <w:trPr/>
        <w:tc>
          <w:tcPr>
            <w:tcW w:w="4082" w:type="dxa"/>
            <w:gridSpan w:val="3"/>
            <w:tcBorders/>
          </w:tcPr>
          <w:p>
            <w:pPr>
              <w:pStyle w:val="TableContents"/>
              <w:bidi w:val="0"/>
              <w:spacing w:before="0" w:after="283"/>
              <w:jc w:val="left"/>
              <w:rPr/>
            </w:pPr>
            <w:r>
              <w:rPr/>
              <w:t>AND DORR LLP</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4" w:type="dxa"/>
            <w:tcBorders>
              <w:bottom w:val="single" w:sz="2" w:space="0" w:color="000000"/>
            </w:tcBorders>
            <w:tcMar>
              <w:bottom w:w="28" w:type="dxa"/>
            </w:tcMar>
          </w:tcPr>
          <w:p>
            <w:pPr>
              <w:pStyle w:val="TableContents"/>
              <w:bidi w:val="0"/>
              <w:spacing w:before="0" w:after="283"/>
              <w:jc w:val="left"/>
              <w:rPr/>
            </w:pPr>
            <w:r>
              <w:rPr/>
              <w:t>/s/ Wilmer Cutler Pickering Hale and Dorr LLP</w:t>
            </w:r>
          </w:p>
        </w:tc>
      </w:tr>
      <w:tr>
        <w:trPr/>
        <w:tc>
          <w:tcPr>
            <w:tcW w:w="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pPr>
            <w:r>
              <w:rPr/>
              <w:t>Wilmer Cutler Pickering Hale and Dorr LLP</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5" w:name="d57571dex232.htm"/>
      <w:bookmarkStart w:id="6" w:name="ksd57571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Agios Pharmaceuticals, Inc. of our report dated February 12, 2026 relating to the financial statements and the effectiveness of internal control over financial reporting, which appears in Agios Pharmaceuticals, Inc.’s Annual Report on Form 10-K for the year ended December 31,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June 18, 2026</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7" w:name="d57571dex991.htm"/>
      <w:bookmarkStart w:id="8" w:name="ksd57571dex991"/>
      <w:bookmarkEnd w:id="7"/>
      <w:bookmarkEnd w:id="8"/>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AGIOS PHARMACEUTICALS, INC.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2023 STOCK INCENTIVE PLAN,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2023 Stock Incentive Plan (the “</w:t>
      </w:r>
      <w:r>
        <w:rPr>
          <w:rFonts w:ascii="Times New Roman" w:hAnsi="Times New Roman"/>
          <w:b/>
          <w:i/>
          <w:sz w:val="20"/>
        </w:rPr>
        <w:t>Plan</w:t>
      </w:r>
      <w:r>
        <w:rPr>
          <w:rFonts w:ascii="Times New Roman" w:hAnsi="Times New Roman"/>
          <w:sz w:val="20"/>
        </w:rPr>
        <w:t>”) of Agios Pharmaceuticals, Inc., a Delaware corporation (the “</w:t>
      </w:r>
      <w:r>
        <w:rPr>
          <w:rFonts w:ascii="Times New Roman" w:hAnsi="Times New Roman"/>
          <w:b/>
          <w:i/>
          <w:sz w:val="20"/>
        </w:rPr>
        <w:t>Company</w:t>
      </w:r>
      <w:r>
        <w:rPr>
          <w:rFonts w:ascii="Times New Roman" w:hAnsi="Times New Roman"/>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i/>
          <w:sz w:val="20"/>
        </w:rPr>
        <w:t>Company</w:t>
      </w:r>
      <w:r>
        <w:rPr>
          <w:rFonts w:ascii="Times New Roman" w:hAnsi="Times New Roman"/>
          <w:sz w:val="20"/>
        </w:rPr>
        <w:t>” shall include any of the Company’s present or future parent or subsidiary corporations as defined in Sections 424(e) or (f) of the Internal Revenue Code of 1986, as amended, and any regulations thereunder (the “</w:t>
      </w:r>
      <w:r>
        <w:rPr>
          <w:rFonts w:ascii="Times New Roman" w:hAnsi="Times New Roman"/>
          <w:b/>
          <w:i/>
          <w:sz w:val="20"/>
        </w:rPr>
        <w:t>Code</w:t>
      </w:r>
      <w:r>
        <w:rPr>
          <w:rFonts w:ascii="Times New Roman" w:hAnsi="Times New Roman"/>
          <w:sz w:val="20"/>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i/>
          <w:sz w:val="20"/>
        </w:rPr>
        <w:t>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hAnsi="Times New Roman"/>
          <w:b/>
          <w:i/>
          <w:sz w:val="20"/>
        </w:rPr>
        <w:t>Securities Act</w:t>
      </w:r>
      <w:r>
        <w:rPr>
          <w:rFonts w:ascii="Times New Roman" w:hAnsi="Times New Roman"/>
          <w:sz w:val="20"/>
        </w:rPr>
        <w:t>”), or any successor form) are eligible to be granted Awards (as defined below) under the Plan. Each person who is granted an Award under the Plan is deemed a “</w:t>
      </w:r>
      <w:r>
        <w:rPr>
          <w:rFonts w:ascii="Times New Roman" w:hAnsi="Times New Roman"/>
          <w:b/>
          <w:i/>
          <w:sz w:val="20"/>
        </w:rPr>
        <w:t>Participant</w:t>
      </w:r>
      <w:r>
        <w:rPr>
          <w:rFonts w:ascii="Times New Roman" w:hAnsi="Times New Roman"/>
          <w:sz w:val="20"/>
        </w:rPr>
        <w:t>.” The Plan provides for the following types of awards, each of which is referred to as an “</w:t>
      </w:r>
      <w:r>
        <w:rPr>
          <w:rFonts w:ascii="Times New Roman" w:hAnsi="Times New Roman"/>
          <w:b/>
          <w:i/>
          <w:sz w:val="20"/>
        </w:rPr>
        <w:t>Award</w:t>
      </w:r>
      <w:r>
        <w:rPr>
          <w:rFonts w:ascii="Times New Roman" w:hAnsi="Times New Roman"/>
          <w:sz w:val="20"/>
        </w:rPr>
        <w:t xml:space="preserve">”: Options (as defined in Section 5), SARs (as defined in Section 6), Restricted Stock (as defined in Section 7), RSUs (as defined in Section 7),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Administration and Delegation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by Board of Directors</w:t>
      </w:r>
      <w:r>
        <w:rPr>
          <w:rFonts w:ascii="Times New Roman" w:hAnsi="Times New Roman"/>
          <w:sz w:val="20"/>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Appointment of Committees</w:t>
      </w:r>
      <w:r>
        <w:rPr>
          <w:rFonts w:ascii="Times New Roman" w:hAnsi="Times New Roman"/>
          <w:sz w:val="20"/>
        </w:rPr>
        <w:t>. To the extent permitted by applicable law, the Board may delegate any or all of its powers under the Plan to one or more committees or subcommittees of the Board (a “</w:t>
      </w:r>
      <w:r>
        <w:rPr>
          <w:rFonts w:ascii="Times New Roman" w:hAnsi="Times New Roman"/>
          <w:b/>
          <w:i/>
          <w:sz w:val="20"/>
        </w:rPr>
        <w:t>Committee</w:t>
      </w:r>
      <w:r>
        <w:rPr>
          <w:rFonts w:ascii="Times New Roman" w:hAnsi="Times New Roman"/>
          <w:sz w:val="20"/>
        </w:rPr>
        <w:t>”). All references in the Plan to the “</w:t>
      </w:r>
      <w:r>
        <w:rPr>
          <w:rFonts w:ascii="Times New Roman" w:hAnsi="Times New Roman"/>
          <w:b/>
          <w:i/>
          <w:sz w:val="20"/>
        </w:rPr>
        <w:t>Board</w:t>
      </w:r>
      <w:r>
        <w:rPr>
          <w:rFonts w:ascii="Times New Roman" w:hAnsi="Times New Roman"/>
          <w:sz w:val="20"/>
        </w:rPr>
        <w:t xml:space="preserve">” shall mean the Board or a Committee of the Board or the Delegated Persons referred to in Section 3(c) to the extent that the Board’s powers or authority under the Plan have been delegated to such Committee or such Delegated Persons.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to Delegated Persons</w:t>
      </w:r>
      <w:r>
        <w:rPr>
          <w:rFonts w:ascii="Times New Roman" w:hAnsi="Times New Roman"/>
          <w:sz w:val="20"/>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w:t>
      </w:r>
      <w:r>
        <w:rPr>
          <w:rFonts w:ascii="Times New Roman" w:hAnsi="Times New Roman"/>
          <w:b/>
          <w:i/>
          <w:sz w:val="20"/>
        </w:rPr>
        <w:t>Delegated Persons</w:t>
      </w:r>
      <w:r>
        <w:rPr>
          <w:rFonts w:ascii="Times New Roman" w:hAnsi="Times New Roman"/>
          <w:sz w:val="20"/>
        </w:rPr>
        <w:t xml:space="preserve">”) the power to grant Awards (subject to any limitations under the Plan) to eligible service providers of the Company and to exercise such other powers under the Plan as the Board may determine, provided that the Board shall fix: (i) the maximum number of Awards, and the maximum number of shares issuable upon exercise thereof, that may be issued by such Delegated Persons, (ii) the time period during which such Awards, and during which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w:t>
      </w:r>
      <w:r>
        <w:rPr>
          <w:rFonts w:ascii="Times New Roman" w:hAnsi="Times New Roman"/>
          <w:b/>
          <w:i/>
          <w:sz w:val="20"/>
        </w:rPr>
        <w:t>Exchange Act</w:t>
      </w:r>
      <w:r>
        <w:rPr>
          <w:rFonts w:ascii="Times New Roman" w:hAnsi="Times New Roman"/>
          <w:sz w:val="20"/>
        </w:rPr>
        <w:t xml:space="preserve">”)) or to any “officer” of the Company (as defined by Rule 16a-1(f)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Awards to Non-Employee Directors</w:t>
      </w:r>
      <w:r>
        <w:rPr>
          <w:rFonts w:ascii="Times New Roman" w:hAnsi="Times New Roman"/>
          <w:sz w:val="20"/>
        </w:rPr>
        <w:t xml:space="preserve">. Awards to non-employee directors will be granted and administered by a Committee, all of the members of which are independent directors as defined by Section 5605(a)(2) of the Nasdaq Marketplace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Available for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Number of Shares; Share Counting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Authorized Number of Shares</w:t>
      </w:r>
      <w:r>
        <w:rPr>
          <w:rFonts w:ascii="Times New Roman" w:hAnsi="Times New Roman"/>
          <w:sz w:val="20"/>
        </w:rPr>
        <w:t>. Subject to adjustment under Section 10, Awards may be made under the Plan for up to a number of shares of common stock, $0.001 par value per share, of the Company (the “</w:t>
      </w:r>
      <w:r>
        <w:rPr>
          <w:rFonts w:ascii="Times New Roman" w:hAnsi="Times New Roman"/>
          <w:b/>
          <w:i/>
          <w:sz w:val="20"/>
        </w:rPr>
        <w:t>Common Stock</w:t>
      </w:r>
      <w:r>
        <w:rPr>
          <w:rFonts w:ascii="Times New Roman" w:hAnsi="Times New Roman"/>
          <w:sz w:val="20"/>
        </w:rPr>
        <w:t xml:space="preserve">”), as is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(A) 9,000,000 shares of Common Stock; and </w:t>
      </w:r>
    </w:p>
    <w:p>
      <w:pPr>
        <w:pStyle w:val="TextBody"/>
        <w:bidi w:val="0"/>
        <w:spacing w:before="240" w:after="0"/>
        <w:jc w:val="left"/>
        <w:rPr>
          <w:rFonts w:ascii="Times New Roman" w:hAnsi="Times New Roman"/>
          <w:sz w:val="20"/>
        </w:rPr>
      </w:pPr>
      <w:r>
        <w:rPr>
          <w:rFonts w:ascii="Times New Roman" w:hAnsi="Times New Roman"/>
          <w:sz w:val="20"/>
        </w:rPr>
        <w:t>(B) the number of shares of Common Stock subject to awards granted under the Company’s 2013 Stock Incentive Plan that are outstanding as of the date that the Plan is approved by the Company’s stockholders (the “</w:t>
      </w:r>
      <w:r>
        <w:rPr>
          <w:rFonts w:ascii="Times New Roman" w:hAnsi="Times New Roman"/>
          <w:b/>
          <w:i/>
          <w:sz w:val="20"/>
        </w:rPr>
        <w:t>Effective Date</w:t>
      </w:r>
      <w:r>
        <w:rPr>
          <w:rFonts w:ascii="Times New Roman" w:hAnsi="Times New Roman"/>
          <w:sz w:val="20"/>
        </w:rPr>
        <w:t xml:space="preserve">”) and which awards expire, terminate or are otherwise surrendered, cancelled, forfeited or repurchased by the Company at their original issuance price pursuant to a contractual repurchase right (subject, however, in the case of Incentive Stock Options, as defined in Section 5(b), to any limitations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Subject to adjustment under Section 10, no more than 9,000,000 shares of Common Stock may be issued under Incentive Stock Options pursuant to the Plan. Shares of Common Stock issued under the Plan may consist in whole or in part of authorized but unissued shares or treasury shares.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Share Counting</w:t>
      </w:r>
      <w:r>
        <w:rPr>
          <w:rFonts w:ascii="Times New Roman" w:hAnsi="Times New Roman"/>
          <w:sz w:val="20"/>
        </w:rPr>
        <w:t xml:space="preserve">. For purposes of counting the number of shares available for the grant of Awards under the Plan under this Section 4(a): </w:t>
      </w:r>
    </w:p>
    <w:p>
      <w:pPr>
        <w:pStyle w:val="TextBody"/>
        <w:bidi w:val="0"/>
        <w:spacing w:before="120" w:after="0"/>
        <w:jc w:val="left"/>
        <w:rPr>
          <w:rFonts w:ascii="Times New Roman" w:hAnsi="Times New Roman"/>
          <w:sz w:val="20"/>
        </w:rPr>
      </w:pPr>
      <w:r>
        <w:rPr>
          <w:rFonts w:ascii="Times New Roman" w:hAnsi="Times New Roman"/>
          <w:sz w:val="20"/>
        </w:rPr>
        <w:t xml:space="preserve">(A) all shares of Common Stock covered by SARs shall be counted against the number of shares available for the grant of Awards under the Plan; </w:t>
      </w:r>
      <w:r>
        <w:rPr>
          <w:rFonts w:ascii="Times New Roman" w:hAnsi="Times New Roman"/>
          <w:i/>
          <w:sz w:val="20"/>
        </w:rPr>
        <w:t>provided, however</w:t>
      </w:r>
      <w:r>
        <w:rPr>
          <w:rFonts w:ascii="Times New Roman" w:hAnsi="Times New Roman"/>
          <w:sz w:val="20"/>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hAnsi="Times New Roman"/>
          <w:b/>
          <w:i/>
          <w:sz w:val="20"/>
        </w:rPr>
        <w:t>Tandem SAR</w:t>
      </w:r>
      <w:r>
        <w:rPr>
          <w:rFonts w:ascii="Times New Roman" w:hAnsi="Times New Roman"/>
          <w:sz w:val="20"/>
        </w:rPr>
        <w:t xml:space="preserve">”), only the shares covered by the Option, and not the shares covered by the Tandem SAR, shall be so counted, and the expiration of one in connection with the other’s exercise will not restore shares to the Plan;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 RSU may be settled only in cash, no shares shall be counted against the shares available for the grant of Awards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Award being settled in cash rather than stock), the unused Common Stock covered by such Award shall again be available for the grant of Awards; </w:t>
      </w:r>
      <w:r>
        <w:rPr>
          <w:rFonts w:ascii="Times New Roman" w:hAnsi="Times New Roman"/>
          <w:i/>
          <w:sz w:val="20"/>
        </w:rPr>
        <w:t>provided, however</w:t>
      </w:r>
      <w:r>
        <w:rPr>
          <w:rFonts w:ascii="Times New Roman" w:hAnsi="Times New Roman"/>
          <w:sz w:val="20"/>
        </w:rPr>
        <w:t xml:space="preserve">,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 </w:t>
      </w:r>
    </w:p>
    <w:p>
      <w:pPr>
        <w:pStyle w:val="TextBody"/>
        <w:bidi w:val="0"/>
        <w:spacing w:before="240" w:after="0"/>
        <w:jc w:val="left"/>
        <w:rPr>
          <w:rFonts w:ascii="Times New Roman" w:hAnsi="Times New Roman"/>
          <w:sz w:val="20"/>
        </w:rPr>
      </w:pPr>
      <w:r>
        <w:rPr>
          <w:rFonts w:ascii="Times New Roman" w:hAnsi="Times New Roman"/>
          <w:sz w:val="20"/>
        </w:rPr>
        <w:t xml:space="preserve">(E) shares of Common Stock repurchased by the Company on the open market using the proceeds from the exercise of an Award shall not increase the number of shares available for future grant of Awards.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 on Awards to Non-Employee Directors</w:t>
      </w:r>
      <w:r>
        <w:rPr>
          <w:rFonts w:ascii="Times New Roman" w:hAnsi="Times New Roman"/>
          <w:sz w:val="20"/>
        </w:rPr>
        <w:t xml:space="preserve">. The maximum aggregate amount of cash and value of Awards (calculated based on grant date fair value for financial reporting purposes) granted in any calendar year to any individual non-employee director shall not exceed $750,000 in the case of an incumbent director; provided, however, that such maximum aggregate amount shall not exceed $1,000,000 in any calendar year for any individual non-employee director in such non-employee director’s initial year of election or appointment; and provided, further, however, that fees paid by the Company on behalf of any non-employee director in connection with regulatory compliance and any amounts paid to a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or Awards granted to a non-employee director in his or her capacity as an advisor or consultant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Substitute Awards</w:t>
      </w:r>
      <w:r>
        <w:rPr>
          <w:rFonts w:ascii="Times New Roman" w:hAnsi="Times New Roman"/>
          <w:sz w:val="20"/>
        </w:rPr>
        <w:t xml:space="preserve">.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options to purchase Common Stock (each, an “</w:t>
      </w:r>
      <w:r>
        <w:rPr>
          <w:rFonts w:ascii="Times New Roman" w:hAnsi="Times New Roman"/>
          <w:b/>
          <w:i/>
          <w:sz w:val="20"/>
        </w:rPr>
        <w:t>Option</w:t>
      </w:r>
      <w:r>
        <w:rPr>
          <w:rFonts w:ascii="Times New Roman" w:hAnsi="Times New Roman"/>
          <w:sz w:val="20"/>
        </w:rPr>
        <w:t xml:space="preserve">”)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Incentive Stock Options</w:t>
      </w:r>
      <w:r>
        <w:rPr>
          <w:rFonts w:ascii="Times New Roman" w:hAnsi="Times New Roman"/>
          <w:sz w:val="20"/>
        </w:rPr>
        <w:t>. An Option that the Board intends to be an “incentive stock option” as defined in Section 422 of the Code (an “</w:t>
      </w:r>
      <w:r>
        <w:rPr>
          <w:rFonts w:ascii="Times New Roman" w:hAnsi="Times New Roman"/>
          <w:b/>
          <w:i/>
          <w:sz w:val="20"/>
        </w:rPr>
        <w:t>Incentive Stock Option</w:t>
      </w:r>
      <w:r>
        <w:rPr>
          <w:rFonts w:ascii="Times New Roman" w:hAnsi="Times New Roman"/>
          <w:sz w:val="20"/>
        </w:rPr>
        <w:t>”) shall only be granted to employees of Agios Pharmaceuticals, Inc., any of Agios Pharmaceuticals,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hAnsi="Times New Roman"/>
          <w:b/>
          <w:i/>
          <w:sz w:val="20"/>
        </w:rPr>
        <w:t>Nonstatutory Stock Option</w:t>
      </w:r>
      <w:r>
        <w:rPr>
          <w:rFonts w:ascii="Times New Roman" w:hAnsi="Times New Roman"/>
          <w:sz w:val="20"/>
        </w:rPr>
        <w:t xml:space="preserve">.” The Company shall have no liability to a Participant, or any other person, if an Option (or any part thereof) that is intended to be an Incentive Stock Option is not an Incentive Stock Option or if the Company converts an Incentive Stock Option to a Nonstatutory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sz w:val="20"/>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hAnsi="Times New Roman"/>
          <w:i/>
          <w:sz w:val="20"/>
        </w:rPr>
        <w:t>provided</w:t>
      </w:r>
      <w:r>
        <w:rPr>
          <w:rFonts w:ascii="Times New Roman" w:hAnsi="Times New Roman"/>
          <w:sz w:val="20"/>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hAnsi="Times New Roman"/>
          <w:b/>
          <w:i/>
          <w:sz w:val="20"/>
        </w:rPr>
        <w:t>Grant Date Fair Market Value</w:t>
      </w:r>
      <w:r>
        <w:rPr>
          <w:rFonts w:ascii="Times New Roman" w:hAnsi="Times New Roman"/>
          <w:sz w:val="20"/>
        </w:rPr>
        <w:t xml:space="preserve">” of a share of Common Stock for purposes of the Plan will be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the Common Stock trades on a national securities exchange, the closing sale price (for the primary trading session) on the date of grant;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Common Stock does not trade on any such exchange, the average of the closing bid and asked prices on the date of grant as reported by an over-the-counter marketplace designated by the Board; or </w:t>
      </w:r>
    </w:p>
    <w:p>
      <w:pPr>
        <w:pStyle w:val="TextBody"/>
        <w:bidi w:val="0"/>
        <w:spacing w:before="240" w:after="0"/>
        <w:jc w:val="left"/>
        <w:rPr>
          <w:rFonts w:ascii="Times New Roman" w:hAnsi="Times New Roman"/>
          <w:sz w:val="20"/>
        </w:rPr>
      </w:pPr>
      <w:r>
        <w:rPr>
          <w:rFonts w:ascii="Times New Roman" w:hAnsi="Times New Roman"/>
          <w:sz w:val="20"/>
        </w:rPr>
        <w:t>(3) 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of the Code or any successor provision thereto, and the regulations thereunder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except as the Board may expressly determine otherwise. </w:t>
      </w:r>
    </w:p>
    <w:p>
      <w:pPr>
        <w:pStyle w:val="TextBody"/>
        <w:bidi w:val="0"/>
        <w:spacing w:before="240" w:after="0"/>
        <w:jc w:val="left"/>
        <w:rPr>
          <w:rFonts w:ascii="Times New Roman" w:hAnsi="Times New Roman"/>
          <w:sz w:val="20"/>
        </w:rPr>
      </w:pPr>
      <w:r>
        <w:rPr>
          <w:rFonts w:ascii="Times New Roman" w:hAnsi="Times New Roman"/>
          <w:sz w:val="20"/>
        </w:rPr>
        <w:t xml:space="preserve">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 </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determine the Grant Date Fair Market Value for purposes of the Plan, and all Awards are conditioned on the Participant’s agreement that the Board’s determination is conclusive and binding even though others might make a different determination.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Duration of Options</w:t>
      </w:r>
      <w:r>
        <w:rPr>
          <w:rFonts w:ascii="Times New Roman" w:hAnsi="Times New Roman"/>
          <w:sz w:val="20"/>
        </w:rPr>
        <w:t xml:space="preserve">. Each Option shall be exercisable at such times and subject to such terms and conditions as the Board may specify in the applicable Option agreement; </w:t>
      </w:r>
      <w:r>
        <w:rPr>
          <w:rFonts w:ascii="Times New Roman" w:hAnsi="Times New Roman"/>
          <w:i/>
          <w:sz w:val="20"/>
        </w:rPr>
        <w:t>provided, however</w:t>
      </w:r>
      <w:r>
        <w:rPr>
          <w:rFonts w:ascii="Times New Roman" w:hAnsi="Times New Roman"/>
          <w:sz w:val="20"/>
        </w:rPr>
        <w:t xml:space="preserve">, that no Option will be granted with a term in excess of 10 years.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 of Options</w:t>
      </w:r>
      <w:r>
        <w:rPr>
          <w:rFonts w:ascii="Times New Roman" w:hAnsi="Times New Roman"/>
          <w:sz w:val="20"/>
        </w:rPr>
        <w:t xml:space="preserve">.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Upon Exercise</w:t>
      </w:r>
      <w:r>
        <w:rPr>
          <w:rFonts w:ascii="Times New Roman" w:hAnsi="Times New Roman"/>
          <w:sz w:val="20"/>
        </w:rPr>
        <w:t xml:space="preserve">. Common Stock purchased upon the exercise of an Option granted under the Plan shall be paid for as follows: </w:t>
      </w:r>
    </w:p>
    <w:p>
      <w:pPr>
        <w:pStyle w:val="TextBody"/>
        <w:bidi w:val="0"/>
        <w:spacing w:before="120" w:after="0"/>
        <w:jc w:val="left"/>
        <w:rPr>
          <w:rFonts w:ascii="Times New Roman" w:hAnsi="Times New Roman"/>
          <w:sz w:val="20"/>
        </w:rPr>
      </w:pPr>
      <w:r>
        <w:rPr>
          <w:rFonts w:ascii="Times New Roman" w:hAnsi="Times New Roman"/>
          <w:sz w:val="20"/>
        </w:rPr>
        <w:t xml:space="preserve">(1) in cash or by check, payable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(3) 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(4) 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 </w:t>
      </w:r>
    </w:p>
    <w:p>
      <w:pPr>
        <w:pStyle w:val="TextBody"/>
        <w:bidi w:val="0"/>
        <w:spacing w:before="240" w:after="0"/>
        <w:jc w:val="left"/>
        <w:rPr>
          <w:rFonts w:ascii="Times New Roman" w:hAnsi="Times New Roman"/>
          <w:sz w:val="20"/>
        </w:rPr>
      </w:pPr>
      <w:r>
        <w:rPr>
          <w:rFonts w:ascii="Times New Roman" w:hAnsi="Times New Roman"/>
          <w:sz w:val="20"/>
        </w:rPr>
        <w:t xml:space="preserve">(6) by any combination of the above permitted forms of payment.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Limitation on Repricing</w:t>
      </w:r>
      <w:r>
        <w:rPr>
          <w:rFonts w:ascii="Times New Roman" w:hAnsi="Times New Roman"/>
          <w:sz w:val="20"/>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Times New Roman" w:hAnsi="Times New Roman"/>
          <w:b/>
          <w:i/>
          <w:sz w:val="20"/>
        </w:rPr>
        <w:t>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Reload Options</w:t>
      </w:r>
      <w:r>
        <w:rPr>
          <w:rFonts w:ascii="Times New Roman" w:hAnsi="Times New Roman"/>
          <w:sz w:val="20"/>
        </w:rPr>
        <w:t xml:space="preserve">. No Option granted under the Plan shall contain any provision entitling the Participant to the automatic grant of additional Options in connection with any exercise of the original Option.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Dividend Equivalents</w:t>
      </w:r>
      <w:r>
        <w:rPr>
          <w:rFonts w:ascii="Times New Roman" w:hAnsi="Times New Roman"/>
          <w:sz w:val="20"/>
        </w:rPr>
        <w:t xml:space="preserve">. No Option shall provide for the payment or accrual of dividend equivalents.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Stock Appreciation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Awards consisting of stock appreciation rights (“</w:t>
      </w:r>
      <w:r>
        <w:rPr>
          <w:rFonts w:ascii="Times New Roman" w:hAnsi="Times New Roman"/>
          <w:b/>
          <w:i/>
          <w:sz w:val="20"/>
        </w:rPr>
        <w:t>SARs</w:t>
      </w:r>
      <w:r>
        <w:rPr>
          <w:rFonts w:ascii="Times New Roman" w:hAnsi="Times New Roman"/>
          <w:sz w:val="20"/>
        </w:rPr>
        <w:t xml:space="preserve">”)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Measurement Price</w:t>
      </w:r>
      <w:r>
        <w:rPr>
          <w:rFonts w:ascii="Times New Roman" w:hAnsi="Times New Roman"/>
          <w:sz w:val="20"/>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hAnsi="Times New Roman"/>
          <w:i/>
          <w:sz w:val="20"/>
        </w:rPr>
        <w:t>provided</w:t>
      </w:r>
      <w:r>
        <w:rPr>
          <w:rFonts w:ascii="Times New Roman" w:hAnsi="Times New Roman"/>
          <w:sz w:val="20"/>
        </w:rPr>
        <w:t xml:space="preserve"> that if the Board approves the grant of an SAR effective as of a future date, the measurement price shall be not less than 100% of the Grant Date Fair Market Value on such future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Duration of SARs</w:t>
      </w:r>
      <w:r>
        <w:rPr>
          <w:rFonts w:ascii="Times New Roman" w:hAnsi="Times New Roman"/>
          <w:sz w:val="20"/>
        </w:rPr>
        <w:t xml:space="preserve">. Each SAR shall be exercisable at such times and subject to such terms and conditions as the Board may specify in the applicable SAR agreement; </w:t>
      </w:r>
      <w:r>
        <w:rPr>
          <w:rFonts w:ascii="Times New Roman" w:hAnsi="Times New Roman"/>
          <w:i/>
          <w:sz w:val="20"/>
        </w:rPr>
        <w:t>provided, however</w:t>
      </w:r>
      <w:r>
        <w:rPr>
          <w:rFonts w:ascii="Times New Roman" w:hAnsi="Times New Roman"/>
          <w:sz w:val="20"/>
        </w:rPr>
        <w:t xml:space="preserve">, that no SAR will be granted with a term in excess of 10 years.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of SARs</w:t>
      </w:r>
      <w:r>
        <w:rPr>
          <w:rFonts w:ascii="Times New Roman" w:hAnsi="Times New Roman"/>
          <w:sz w:val="20"/>
        </w:rPr>
        <w:t xml:space="preserve">. SARs may be exercised by delivery to the Company of a notice of exercise in a form (which may be electronic) approved by the Company, together with any other documents required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 on Repricing</w:t>
      </w:r>
      <w:r>
        <w:rPr>
          <w:rFonts w:ascii="Times New Roman" w:hAnsi="Times New Roman"/>
          <w:sz w:val="20"/>
        </w:rPr>
        <w:t xml:space="preserve">.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Reload SARs</w:t>
      </w:r>
      <w:r>
        <w:rPr>
          <w:rFonts w:ascii="Times New Roman" w:hAnsi="Times New Roman"/>
          <w:sz w:val="20"/>
        </w:rPr>
        <w:t xml:space="preserve">. No SAR granted under the Plan shall contain any provision entitling the Participant to the automatic grant of additional SARs in connection with any exercise of the original SAR.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Dividend Equivalents</w:t>
      </w:r>
      <w:r>
        <w:rPr>
          <w:rFonts w:ascii="Times New Roman" w:hAnsi="Times New Roman"/>
          <w:sz w:val="20"/>
        </w:rPr>
        <w:t xml:space="preserve">. No SAR shall provide for the payment or accrual of dividend equivalents.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Restricted Stock; RSUs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Awards entitling recipients to acquire shares of Common Stock (“</w:t>
      </w:r>
      <w:r>
        <w:rPr>
          <w:rFonts w:ascii="Times New Roman" w:hAnsi="Times New Roman"/>
          <w:b/>
          <w:i/>
          <w:sz w:val="20"/>
        </w:rPr>
        <w:t>Restricted Stock</w:t>
      </w:r>
      <w:r>
        <w:rPr>
          <w:rFonts w:ascii="Times New Roman" w:hAnsi="Times New Roman"/>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Times New Roman" w:hAnsi="Times New Roman"/>
          <w:b/>
          <w:i/>
          <w:sz w:val="20"/>
        </w:rPr>
        <w:t>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 for Restricted Stock and RSUs</w:t>
      </w:r>
      <w:r>
        <w:rPr>
          <w:rFonts w:ascii="Times New Roman" w:hAnsi="Times New Roman"/>
          <w:sz w:val="20"/>
        </w:rPr>
        <w:t xml:space="preserve">. The Board shall determine the terms and conditions of Restricted Stock and RSUs, including the conditions for vesting and repurchase (or forfeiture) and the issue price, if 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Provisions Relating to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Any dividends (whether paid in cash, stock or property) declared and paid by the Company with respect to shares of Restricted Stock (“</w:t>
      </w:r>
      <w:r>
        <w:rPr>
          <w:rFonts w:ascii="Times New Roman" w:hAnsi="Times New Roman"/>
          <w:b/>
          <w:i/>
          <w:sz w:val="20"/>
        </w:rPr>
        <w:t>Unvested Dividends</w:t>
      </w:r>
      <w:r>
        <w:rPr>
          <w:rFonts w:ascii="Times New Roman" w:hAnsi="Times New Roman"/>
          <w:sz w:val="20"/>
        </w:rPr>
        <w:t xml:space="preserve">”)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Stock Certificates/Issuance</w:t>
      </w:r>
      <w:r>
        <w:rPr>
          <w:rFonts w:ascii="Times New Roman" w:hAnsi="Times New Roman"/>
          <w:sz w:val="20"/>
        </w:rPr>
        <w:t xml:space="preserve">.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 designee) shall deliver the certificates no longer subject to such restrictions (or, to the extent the Restricted Stock was issued in book entry, remove the restrictions) to the Participant or if the Participant has died, to his or her Designated Beneficiary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Provisions Relating to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Settlement</w:t>
      </w:r>
      <w:r>
        <w:rPr>
          <w:rFonts w:ascii="Times New Roman" w:hAnsi="Times New Roman"/>
          <w:sz w:val="20"/>
        </w:rPr>
        <w:t xml:space="preserve">.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 Rights</w:t>
      </w:r>
      <w:r>
        <w:rPr>
          <w:rFonts w:ascii="Times New Roman" w:hAnsi="Times New Roman"/>
          <w:sz w:val="20"/>
        </w:rPr>
        <w:t xml:space="preserve">. A Participant shall have no voting rights with respect to any RSUs.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 Equivalents</w:t>
      </w:r>
      <w:r>
        <w:rPr>
          <w:rFonts w:ascii="Times New Roman" w:hAnsi="Times New Roman"/>
          <w:sz w:val="20"/>
        </w:rPr>
        <w:t>. The Award agreement for RSUs may provide Participants with the right to receive an amount equal to any dividends or other distributions declared and paid on an equal number of outstanding shares of Common Stock (“</w:t>
      </w:r>
      <w:r>
        <w:rPr>
          <w:rFonts w:ascii="Times New Roman" w:hAnsi="Times New Roman"/>
          <w:b/>
          <w:i/>
          <w:sz w:val="20"/>
        </w:rPr>
        <w:t>Dividend Equivalents</w:t>
      </w:r>
      <w:r>
        <w:rPr>
          <w:rFonts w:ascii="Times New Roman" w:hAnsi="Times New Roman"/>
          <w:sz w:val="20"/>
        </w:rPr>
        <w:t xml:space="preserve">”).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Other Stock-Based and Cash-Based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The Board may grant other Awards of shares of Common Stock, and other Awards that are valued in whole or in part by reference to, or are otherwise based on, shares of Common Stock or other property (“</w:t>
      </w:r>
      <w:r>
        <w:rPr>
          <w:rFonts w:ascii="Times New Roman" w:hAnsi="Times New Roman"/>
          <w:b/>
          <w:i/>
          <w:sz w:val="20"/>
        </w:rPr>
        <w:t>Other Stock-Based Awards</w:t>
      </w:r>
      <w:r>
        <w:rPr>
          <w:rFonts w:ascii="Times New Roman" w:hAnsi="Times New Roman"/>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hAnsi="Times New Roman"/>
          <w:b/>
          <w:i/>
          <w:sz w:val="20"/>
        </w:rPr>
        <w:t>Cash-Based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and Conditions</w:t>
      </w:r>
      <w:r>
        <w:rPr>
          <w:rFonts w:ascii="Times New Roman" w:hAnsi="Times New Roman"/>
          <w:sz w:val="20"/>
        </w:rPr>
        <w:t xml:space="preserve">. Subject to the provisions of the Plan, the Board shall determine the terms and conditions of each Other Stock-Based Award or Cash-Based Award, including any purchase price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Dividend Equivalents</w:t>
      </w:r>
      <w:r>
        <w:rPr>
          <w:rFonts w:ascii="Times New Roman" w:hAnsi="Times New Roman"/>
          <w:sz w:val="20"/>
        </w:rPr>
        <w:t xml:space="preserve">.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Performance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Grants</w:t>
      </w:r>
      <w:r>
        <w:rPr>
          <w:rFonts w:ascii="Times New Roman" w:hAnsi="Times New Roman"/>
          <w:sz w:val="20"/>
        </w:rPr>
        <w:t>. Awards under the Plan may be made subject to the achievement of performance goals pursuant to this Section 9 (“</w:t>
      </w:r>
      <w:r>
        <w:rPr>
          <w:rFonts w:ascii="Times New Roman" w:hAnsi="Times New Roman"/>
          <w:b/>
          <w:i/>
          <w:sz w:val="20"/>
        </w:rPr>
        <w:t>Performance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Measures</w:t>
      </w:r>
      <w:r>
        <w:rPr>
          <w:rFonts w:ascii="Times New Roman" w:hAnsi="Times New Roman"/>
          <w:sz w:val="20"/>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Times New Roman" w:hAnsi="Times New Roman"/>
          <w:b/>
          <w:i/>
          <w:sz w:val="20"/>
        </w:rPr>
        <w:t>GAAP</w:t>
      </w:r>
      <w:r>
        <w:rPr>
          <w:rFonts w:ascii="Times New Roman" w:hAnsi="Times New Roman"/>
          <w:sz w:val="20"/>
        </w:rPr>
        <w:t xml:space="preserve">”) or on a non-GAAP basis, as determined by the Board: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business, technologies and assets; (vi) new product or service releases; (vii) the achievement of qualitative or quantitative performance measures set forth in operating plans approved by the Board from time to time; (viii)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or stock price; (xii) other comparable measures of financial and operational performance; (xiii) achievement of environmental, social, or governance objectives, and/ or (xiv)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(1) extraordinary items; (2) gains or losses on the dispositions of discontinued operations; (3) the cumulative effects of changes in accounting principles; (4) the writedown of any asset; (5) fluctuation in foreign currency exchange rates; (6) charges for restructuring and rationalization programs; (7) non-cash, mark-to-market adjustments on derivative instruments; (8) amortization of purchased intangibles; (9) the net impact of tax rate changes; (10) non-cash asset impairment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(11) gains on extinguishment of the tax receivable agreement; and (12) any other factors as the Board may determine. Such performance measures: (x) may vary by Participant and may be different for different Awards; (y) may be particular to a Participant or the department, branch, line of business, subsidiary or other unit in which the Participant works and may cover such period as may be specified by the Board;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Adjustments</w:t>
      </w:r>
      <w:r>
        <w:rPr>
          <w:rFonts w:ascii="Times New Roman" w:hAnsi="Times New Roman"/>
          <w:sz w:val="20"/>
        </w:rPr>
        <w:t xml:space="preserve">. The Board may adjust the number of shares payable pursuant to such Performance Award, and the Board may, at any time, waive the achievement of the applicable performance measures.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Dividends; Dividend Equivalents</w:t>
      </w:r>
      <w:r>
        <w:rPr>
          <w:rFonts w:ascii="Times New Roman" w:hAnsi="Times New Roman"/>
          <w:sz w:val="20"/>
        </w:rPr>
        <w:t xml:space="preserve">. Notwithstanding its designation as a Performance Award, no Option or SAR shall provide for the payment or accrual of dividend equivalents in accordance with Sections 5(i) and 6(g), as applicable, any dividends declared and paid by the Company with respect to shares of Restricted Stock shall be subject to Section 7(c)(i), and any right to receive Dividend Equivalents on an award of RSUs and Other Stock-Based Awards shall be subject to Sections 7(d)(1) and 8(c),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Adjustments for Changes in Common Stock and Certain Other Events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Changes in Capitalization</w:t>
      </w:r>
      <w:r>
        <w:rPr>
          <w:rFonts w:ascii="Times New Roman" w:hAnsi="Times New Roman"/>
          <w:sz w:val="20"/>
        </w:rPr>
        <w:t xml:space="preserve">.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the number and class of securities available for grant as Incentive Stock Options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Reorganization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w:t>
      </w:r>
      <w:r>
        <w:rPr>
          <w:rFonts w:ascii="Times New Roman" w:hAnsi="Times New Roman"/>
          <w:sz w:val="20"/>
        </w:rPr>
        <w:t>. A “</w:t>
      </w:r>
      <w:r>
        <w:rPr>
          <w:rFonts w:ascii="Times New Roman" w:hAnsi="Times New Roman"/>
          <w:b/>
          <w:i/>
          <w:sz w:val="20"/>
        </w:rPr>
        <w:t>Reorganization Event</w:t>
      </w:r>
      <w:r>
        <w:rPr>
          <w:rFonts w:ascii="Times New Roman" w:hAnsi="Times New Roman"/>
          <w:sz w:val="20"/>
        </w:rPr>
        <w:t xml:space="preserve">”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Consequences of a Reorganization Event on Awards Other than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(i) provide that such Awards shall be assumed, or substantially equivalent Awards shall be substituted, by the acquiring or succeeding corporation (or an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(iii) provide that outstanding Awards shall become exercisable, realizable or deliverable, or restrictions applicable to an Award shall lapse, in whole or in part prior to or upon such Reorganization Event; </w:t>
      </w:r>
    </w:p>
    <w:p>
      <w:pPr>
        <w:pStyle w:val="TextBody"/>
        <w:bidi w:val="0"/>
        <w:spacing w:before="240" w:after="0"/>
        <w:jc w:val="left"/>
        <w:rPr>
          <w:rFonts w:ascii="Times New Roman" w:hAnsi="Times New Roman"/>
          <w:sz w:val="20"/>
        </w:rPr>
      </w:pPr>
      <w:r>
        <w:rPr>
          <w:rFonts w:ascii="Times New Roman" w:hAnsi="Times New Roman"/>
          <w:sz w:val="20"/>
        </w:rPr>
        <w:t>(iv) in the event of a Reorganization Event under the terms of which holders of Common Stock will receive upon consummation thereof a cash payment for each share surrendered in the Reorganization Event (the “</w:t>
      </w:r>
      <w:r>
        <w:rPr>
          <w:rFonts w:ascii="Times New Roman" w:hAnsi="Times New Roman"/>
          <w:b/>
          <w:i/>
          <w:sz w:val="20"/>
        </w:rPr>
        <w:t>Acquisition Price</w:t>
      </w:r>
      <w:r>
        <w:rPr>
          <w:rFonts w:ascii="Times New Roman" w:hAnsi="Times New Roman"/>
          <w:sz w:val="20"/>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w:t>
      </w:r>
      <w:r>
        <w:rPr>
          <w:rFonts w:ascii="Times New Roman" w:hAnsi="Times New Roman"/>
          <w:i/>
          <w:sz w:val="20"/>
        </w:rPr>
        <w:t>provided,</w:t>
      </w:r>
      <w:r>
        <w:rPr>
          <w:rFonts w:ascii="Times New Roman" w:hAnsi="Times New Roman"/>
          <w:sz w:val="20"/>
        </w:rPr>
        <w:t xml:space="preserve"> that if the Acquisition Price per share (as determined by the Board) does not exceed the exercise price of such Award, then the Award shall be cancelled without any payment of consideration therefor; </w:t>
      </w:r>
    </w:p>
    <w:p>
      <w:pPr>
        <w:pStyle w:val="TextBody"/>
        <w:bidi w:val="0"/>
        <w:spacing w:before="240" w:after="0"/>
        <w:jc w:val="left"/>
        <w:rPr>
          <w:rFonts w:ascii="Times New Roman" w:hAnsi="Times New Roman"/>
          <w:sz w:val="20"/>
        </w:rPr>
      </w:pPr>
      <w:r>
        <w:rPr>
          <w:rFonts w:ascii="Times New Roman" w:hAnsi="Times New Roman"/>
          <w:sz w:val="20"/>
        </w:rPr>
        <w:t xml:space="preserve">(v) provide that, in connection with a liquidation or dissolution of the Company, Awards shall convert into the right to receive liquidation proceeds (if applicable, net of the exercise, measurement or purchase price thereof and any applicable tax withholdings); and </w:t>
      </w:r>
    </w:p>
    <w:p>
      <w:pPr>
        <w:pStyle w:val="TextBody"/>
        <w:bidi w:val="0"/>
        <w:spacing w:before="240" w:after="0"/>
        <w:jc w:val="left"/>
        <w:rPr>
          <w:rFonts w:ascii="Times New Roman" w:hAnsi="Times New Roman"/>
          <w:sz w:val="20"/>
        </w:rPr>
      </w:pPr>
      <w:r>
        <w:rPr>
          <w:rFonts w:ascii="Times New Roman" w:hAnsi="Times New Roman"/>
          <w:sz w:val="20"/>
        </w:rPr>
        <w:t xml:space="preserve">(vi)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taking any of the actions permitted under this Section 10(b)(2)(A), the Board shall not be obligated by the Plan to treat all Awards, all Awards held by a Participant, or all Awards of the same type, identically.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hAnsi="Times New Roman"/>
          <w:i/>
          <w:sz w:val="20"/>
        </w:rPr>
        <w:t>provided, however</w:t>
      </w:r>
      <w:r>
        <w:rPr>
          <w:rFonts w:ascii="Times New Roman" w:hAnsi="Times New Roman"/>
          <w:sz w:val="20"/>
        </w:rPr>
        <w:t xml:space="preserve">,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 </w:t>
      </w:r>
    </w:p>
    <w:p>
      <w:pPr>
        <w:pStyle w:val="TextBody"/>
        <w:bidi w:val="0"/>
        <w:spacing w:before="240" w:after="0"/>
        <w:jc w:val="left"/>
        <w:rPr>
          <w:rFonts w:ascii="Times New Roman" w:hAnsi="Times New Roman"/>
          <w:sz w:val="20"/>
        </w:rPr>
      </w:pPr>
      <w:r>
        <w:rPr>
          <w:rFonts w:ascii="Times New Roman" w:hAnsi="Times New Roman"/>
          <w:sz w:val="20"/>
        </w:rPr>
        <w:t xml:space="preserve">(D) 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Consequences of a Reorganization Event on Restricted Stock</w:t>
      </w:r>
      <w:r>
        <w:rPr>
          <w:rFonts w:ascii="Times New Roman" w:hAnsi="Times New Roman"/>
          <w:sz w:val="20"/>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General Provisions Applicable to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 of Awards</w:t>
      </w:r>
      <w:r>
        <w:rPr>
          <w:rFonts w:ascii="Times New Roman" w:hAnsi="Times New Roman"/>
          <w:sz w:val="20"/>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hAnsi="Times New Roman"/>
          <w:i/>
          <w:sz w:val="20"/>
        </w:rPr>
        <w:t>provided, however</w:t>
      </w:r>
      <w:r>
        <w:rPr>
          <w:rFonts w:ascii="Times New Roman" w:hAnsi="Times New Roman"/>
          <w:sz w:val="20"/>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hAnsi="Times New Roman"/>
          <w:i/>
          <w:sz w:val="20"/>
        </w:rPr>
        <w:t>provided further</w:t>
      </w:r>
      <w:r>
        <w:rPr>
          <w:rFonts w:ascii="Times New Roman" w:hAnsi="Times New Roman"/>
          <w:sz w:val="20"/>
        </w:rPr>
        <w:t xml:space="preserve">,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Documentation</w:t>
      </w:r>
      <w:r>
        <w:rPr>
          <w:rFonts w:ascii="Times New Roman" w:hAnsi="Times New Roman"/>
          <w:sz w:val="20"/>
        </w:rPr>
        <w:t xml:space="preserve">. Each Award shall be evidenced in such form (written, electronic or otherwise) as the Board shall determine. Each Award may contain terms and conditions in addition to those set forth in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Status</w:t>
      </w:r>
      <w:r>
        <w:rPr>
          <w:rFonts w:ascii="Times New Roman" w:hAnsi="Times New Roman"/>
          <w:sz w:val="20"/>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hAnsi="Times New Roman"/>
          <w:b/>
          <w:i/>
          <w:sz w:val="20"/>
        </w:rPr>
        <w:t>Designated Beneficiary</w:t>
      </w:r>
      <w:r>
        <w:rPr>
          <w:rFonts w:ascii="Times New Roman" w:hAnsi="Times New Roman"/>
          <w:sz w:val="20"/>
        </w:rPr>
        <w:t xml:space="preserve">” means (i) the beneficiary designated, in a manner determined by the Board, by a Participant to receive amounts due or exercise rights of the Participant in the event of the Participant’s death or (ii) in the absence of an effective designation by a Participant, the Participant’s estate.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Withholding</w:t>
      </w:r>
      <w:r>
        <w:rPr>
          <w:rFonts w:ascii="Times New Roman" w:hAnsi="Times New Roman"/>
          <w:sz w:val="20"/>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Times New Roman" w:hAnsi="Times New Roman"/>
          <w:i/>
          <w:sz w:val="20"/>
        </w:rPr>
        <w:t>provided, however</w:t>
      </w:r>
      <w:r>
        <w:rPr>
          <w:rFonts w:ascii="Times New Roman" w:hAnsi="Times New Roman"/>
          <w:sz w:val="20"/>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 approved by, the Company)) as the Company shall determine to be necessary to satisfy the tax liability associated with any Award. Shares used to satisfy tax withholding requirements cannot be subject to any repurchase, forfeiture, unfulfilled vesting or other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 of Award</w:t>
      </w:r>
      <w:r>
        <w:rPr>
          <w:rFonts w:ascii="Times New Roman" w:hAnsi="Times New Roman"/>
          <w:sz w:val="20"/>
        </w:rPr>
        <w:t xml:space="preserve">. Except as otherwise provided in Section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Acceleration</w:t>
      </w:r>
      <w:r>
        <w:rPr>
          <w:rFonts w:ascii="Times New Roman" w:hAnsi="Times New Roman"/>
          <w:sz w:val="20"/>
        </w:rPr>
        <w:t xml:space="preserve">. The Board may at any time provide that any Award shall become immediately exercisable in whole or in part, free from some or all restrictions or conditions or otherwise realizable in whole or in part,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 To Employment or Other Status</w:t>
      </w:r>
      <w:r>
        <w:rPr>
          <w:rFonts w:ascii="Times New Roman" w:hAnsi="Times New Roman"/>
          <w:sz w:val="20"/>
        </w:rPr>
        <w:t xml:space="preserve">.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Rights As Stockholder; Clawback</w:t>
      </w:r>
      <w:r>
        <w:rPr>
          <w:rFonts w:ascii="Times New Roman" w:hAnsi="Times New Roman"/>
          <w:sz w:val="20"/>
        </w:rPr>
        <w:t xml:space="preserve">.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 Date and Term of Plan</w:t>
      </w:r>
      <w:r>
        <w:rPr>
          <w:rFonts w:ascii="Times New Roman" w:hAnsi="Times New Roman"/>
          <w:sz w:val="20"/>
        </w:rPr>
        <w:t xml:space="preserve">. The Plan shall become effective on the Effective Date. No Awards shall be granted under the Plan after the expiration of 10 years from the Effective Date, but Awards previously granted may extend beyond that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Plan</w:t>
      </w:r>
      <w:r>
        <w:rPr>
          <w:rFonts w:ascii="Times New Roman" w:hAnsi="Times New Roman"/>
          <w:sz w:val="20"/>
        </w:rPr>
        <w:t xml:space="preserve">.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will be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Authorization of Sub-Plans (including for Grants to non-U.S. Employees)</w:t>
      </w:r>
      <w:r>
        <w:rPr>
          <w:rFonts w:ascii="Times New Roman" w:hAnsi="Times New Roman"/>
          <w:sz w:val="20"/>
        </w:rPr>
        <w:t xml:space="preserve">.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Compliance with Section 409A</w:t>
      </w:r>
      <w:r>
        <w:rPr>
          <w:rFonts w:ascii="Times New Roman" w:hAnsi="Times New Roman"/>
          <w:sz w:val="20"/>
        </w:rPr>
        <w:t>. If and to the extent (i) any portion of any payment, compensation or other benefit provided to a Participant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to be bound, such portion of the payment, compensation or other benefit shall not be paid before the day that is six months plus one day after the date of “separation from service” (as determined under Section 409A) (the “</w:t>
      </w:r>
      <w:r>
        <w:rPr>
          <w:rFonts w:ascii="Times New Roman" w:hAnsi="Times New Roman"/>
          <w:b/>
          <w:i/>
          <w:sz w:val="20"/>
        </w:rPr>
        <w:t>New Payment Date</w:t>
      </w:r>
      <w:r>
        <w:rPr>
          <w:rFonts w:ascii="Times New Roman" w:hAnsi="Times New Roman"/>
          <w:sz w:val="20"/>
        </w:rPr>
        <w:t xml:space="preserv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Limitations on Liability</w:t>
      </w:r>
      <w:r>
        <w:rPr>
          <w:rFonts w:ascii="Times New Roman" w:hAnsi="Times New Roman"/>
          <w:sz w:val="20"/>
        </w:rPr>
        <w:t xml:space="preserve">.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w:t>
      </w:r>
      <w:r>
        <w:rPr>
          <w:rFonts w:ascii="Times New Roman" w:hAnsi="Times New Roman"/>
          <w:sz w:val="20"/>
        </w:rPr>
        <w:t xml:space="preserve">.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 </w:t>
      </w:r>
    </w:p>
    <w:p>
      <w:pPr>
        <w:pStyle w:val="Normal"/>
        <w:bidi w:val="0"/>
        <w:spacing w:before="0" w:after="0"/>
        <w:jc w:val="left"/>
        <w:rPr>
          <w:sz w:val="4"/>
          <w:szCs w:val="4"/>
        </w:rPr>
      </w:pPr>
      <w:r>
        <w:rPr>
          <w:sz w:val="4"/>
          <w:szCs w:val="4"/>
        </w:rPr>
      </w:r>
      <w:bookmarkStart w:id="9" w:name="d57571dexfilingfees.htm"/>
      <w:bookmarkStart w:id="10" w:name="ksd57571dexfilingfees"/>
      <w:bookmarkStart w:id="11" w:name="d57571dexfilingfees.htm"/>
      <w:bookmarkStart w:id="12" w:name="ksd57571dexfilingfees"/>
      <w:bookmarkEnd w:id="11"/>
      <w:bookmarkEnd w:id="12"/>
      <w:r>
        <w:br w:type="page"/>
      </w:r>
    </w:p>
    <w:tbl>
      <w:tblPr>
        <w:tblW w:w="4325" w:type="dxa"/>
        <w:jc w:val="left"/>
        <w:tblInd w:w="0" w:type="dxa"/>
        <w:tblLayout w:type="fixed"/>
        <w:tblCellMar>
          <w:top w:w="28" w:type="dxa"/>
          <w:left w:w="28" w:type="dxa"/>
          <w:bottom w:w="28" w:type="dxa"/>
          <w:right w:w="28" w:type="dxa"/>
        </w:tblCellMar>
      </w:tblPr>
      <w:tblGrid>
        <w:gridCol w:w="4171"/>
        <w:gridCol w:w="154"/>
      </w:tblGrid>
      <w:tr>
        <w:trPr/>
        <w:tc>
          <w:tcPr>
            <w:tcW w:w="432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17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b/>
              </w:rPr>
            </w:pPr>
            <w:r>
              <w:rPr>
                <w:b/>
              </w:rPr>
              <w:t xml:space="preserve">AGIOS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5"/>
        <w:gridCol w:w="1292"/>
        <w:gridCol w:w="1201"/>
        <w:gridCol w:w="1214"/>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5" w:type="dxa"/>
            <w:tcBorders/>
            <w:shd w:fill="E7E7E2" w:val="clear"/>
            <w:vAlign w:val="center"/>
          </w:tcPr>
          <w:p>
            <w:pPr>
              <w:pStyle w:val="TableContents"/>
              <w:bidi w:val="0"/>
              <w:spacing w:before="0" w:after="283"/>
              <w:jc w:val="left"/>
              <w:rPr/>
            </w:pPr>
            <w:r>
              <w:rPr/>
              <w:t xml:space="preserve">Common Stock, $0.001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2,000,000 </w:t>
            </w:r>
          </w:p>
        </w:tc>
        <w:tc>
          <w:tcPr>
            <w:tcW w:w="1214" w:type="dxa"/>
            <w:tcBorders/>
            <w:shd w:fill="E7E7E2" w:val="clear"/>
            <w:vAlign w:val="center"/>
          </w:tcPr>
          <w:p>
            <w:pPr>
              <w:pStyle w:val="TableContents"/>
              <w:bidi w:val="0"/>
              <w:spacing w:before="0" w:after="283"/>
              <w:jc w:val="right"/>
              <w:rPr/>
            </w:pPr>
            <w:r>
              <w:rPr/>
              <w:t xml:space="preserve">$ 30.59 </w:t>
            </w:r>
          </w:p>
        </w:tc>
        <w:tc>
          <w:tcPr>
            <w:tcW w:w="1701" w:type="dxa"/>
            <w:tcBorders/>
            <w:shd w:fill="E7E7E2" w:val="clear"/>
            <w:vAlign w:val="center"/>
          </w:tcPr>
          <w:p>
            <w:pPr>
              <w:pStyle w:val="TableContents"/>
              <w:bidi w:val="0"/>
              <w:spacing w:before="0" w:after="283"/>
              <w:jc w:val="right"/>
              <w:rPr/>
            </w:pPr>
            <w:r>
              <w:rPr/>
              <w:t xml:space="preserve">$ 61,180,000.00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$ 8,448.96 </w:t>
            </w:r>
          </w:p>
        </w:tc>
      </w:tr>
      <w:tr>
        <w:trPr/>
        <w:tc>
          <w:tcPr>
            <w:tcW w:w="4735"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3" w:name="MaxAggtOfferingPrice"/>
            <w:bookmarkEnd w:id="13"/>
            <w:r>
              <w:rPr/>
              <w:t xml:space="preserve">$ 61,180,000.00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$ 8,448.96 </w:t>
            </w:r>
          </w:p>
        </w:tc>
      </w:tr>
      <w:tr>
        <w:trPr/>
        <w:tc>
          <w:tcPr>
            <w:tcW w:w="4735"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35"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6" w:name="NetFeeAmt"/>
            <w:bookmarkEnd w:id="16"/>
            <w:r>
              <w:rPr/>
              <w:t xml:space="preserve">$ 8,448.96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4"/>
        <w:gridCol w:w="8708"/>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 (2) Consists of 2,000,000 additional shares of common stock issuable under the 2023 Stock Incentive Plan, as amended. (3) Estimated solely for the purpose of calculating the registration fee pursuant to Rules 457(c) and 457(h) of the Securities Act of 1933, as amended, and based on the average of the high and low sale prices of the registrant's common stock as reported on the Nasdaq Global Select Market on June 15,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9222/000119312523166035/d482039ds8.htm" TargetMode="External"/><Relationship Id="rId3" Type="http://schemas.openxmlformats.org/officeDocument/2006/relationships/hyperlink" Target="http://www.sec.gov/Archives/edgar/data/1439222/000119312525142763/d57601ds8.htm" TargetMode="External"/><Relationship Id="rId4" Type="http://schemas.openxmlformats.org/officeDocument/2006/relationships/hyperlink" Target="http://www.sec.gov/Archives/edgar/data/1439222/000119312513307909/d574969dex31.htm" TargetMode="External"/><Relationship Id="rId5" Type="http://schemas.openxmlformats.org/officeDocument/2006/relationships/hyperlink" Target="http://www.sec.gov/Archives/edgar/data/1439222/000119312523060031/d638020dex31.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11022</Words>
  <Characters>57118</Characters>
  <CharactersWithSpaces>68232</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