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Agios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06/25/2026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 E. Shaw &amp; Co.,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2,863,931.00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3,034,031.00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3,034,031.00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E. Shaw</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2,863,931.00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3,034,031.00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3,034,031.00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0"/>
        <w:gridCol w:w="8900"/>
        <w:gridCol w:w="155"/>
      </w:tblGrid>
      <w:tr>
        <w:trPr/>
        <w:tc>
          <w:tcPr>
            <w:tcW w:w="1150" w:type="dxa"/>
            <w:tcBorders/>
            <w:vAlign w:val="center"/>
          </w:tcPr>
          <w:p>
            <w:pPr>
              <w:pStyle w:val="TableContents"/>
              <w:bidi w:val="0"/>
              <w:spacing w:before="0" w:after="283"/>
              <w:jc w:val="left"/>
              <w:rPr/>
            </w:pPr>
            <w:r>
              <w:rPr/>
              <w:t>Item 1.</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issuer: </w:t>
            </w:r>
          </w:p>
          <w:p>
            <w:pPr>
              <w:pStyle w:val="TableContents"/>
              <w:bidi w:val="0"/>
              <w:spacing w:before="0" w:after="0"/>
              <w:jc w:val="left"/>
              <w:rPr/>
            </w:pPr>
            <w:r>
              <w:rPr/>
              <w:t>Agios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88 Sidney Street, Cambridge, MA 02139</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2.</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person filing: </w:t>
            </w:r>
          </w:p>
          <w:p>
            <w:pPr>
              <w:pStyle w:val="TableContents"/>
              <w:bidi w:val="0"/>
              <w:spacing w:before="0" w:after="0"/>
              <w:jc w:val="left"/>
              <w:rPr/>
            </w:pPr>
            <w:r>
              <w:rPr/>
              <w:t>D. E. Shaw &amp; Co., L.P. David E. Shaw</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business address for each reporting person is: Two Manhattan West 375 Ninth Avenue, 52nd Floor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jc w:val="left"/>
              <w:rPr/>
            </w:pPr>
            <w:r>
              <w:rPr/>
              <w:t xml:space="preserve">Citizenship: </w:t>
            </w:r>
          </w:p>
          <w:p>
            <w:pPr>
              <w:pStyle w:val="TableContents"/>
              <w:bidi w:val="0"/>
              <w:spacing w:before="0" w:after="0"/>
              <w:jc w:val="left"/>
              <w:rPr/>
            </w:pPr>
            <w:r>
              <w:rPr/>
              <w:t>D. E. Shaw &amp; Co., L.P. is a limited partnership organized under the laws of the state of Delaware. David E. Shaw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3.</w:t>
            </w:r>
          </w:p>
        </w:tc>
        <w:tc>
          <w:tcPr>
            <w:tcW w:w="890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(f)</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(g)</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(h)</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(j)</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(k)</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4.</w:t>
            </w:r>
          </w:p>
        </w:tc>
        <w:tc>
          <w:tcPr>
            <w:tcW w:w="890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D. E. Shaw &amp; Co., L.P.: 3,034,031 shares This is composed of (i) 1,275,312 shares in the name of D. E. Shaw Valence Portfolios, L.L.C., (ii) 861,729 shares in the name of D. E. Shaw Oculus Portfolios, L.L.C., and (iii) 896,990 shares under the management of D. E. Shaw Investment Management, L.L.C. David E. Shaw: 3,034,031 shares This is composed of (i) 1,275,312 shares in the name of D. E. Shaw Valence Portfolios, L.L.C., (ii) 861,729 shares in the name of D. E. Shaw Oculus Portfolios, L.L.C., and (iii) 896,990 shares under the management of D. E. Shaw Investment Management, L.L.C. David E. Shaw does not own any shares directly. By virtue of David E. Shaw's position as President and sole shareholder of D. E. Shaw &amp; Co., Inc., which is the general partner of D. E. Shaw &amp; Co., L.P., which in turn is the investment adviser of D. E. Shaw Valence Portfolios, L.L.C. and D. E. Shaw Oculus Portfolios, L.L.C. and the managing member of D. E. Shaw Investment Management, L.L.C., and by virtue of David E. Shaw's position as President and sole shareholder of D. E. Shaw &amp; Co. II, Inc., which is the managing member of D. E. Shaw &amp; Co., L.L.C., which in turn is the manager of D. E. Shaw Valence Portfolios, L.L.C. and D. E. Shaw Oculus Portfolios, L.L.C., David E. Shaw may be deemed to have the shared power to vote or direct the vote of 2,863,931 shares and the shared power to dispose or direct the disposition of 3,034,031 shares, the 3,034,031 shares as described above constituting 5.1% of the outstanding shares, and, therefore, David E. Shaw may be deemed to be the beneficial owner of such shares. David E. Shaw disclaims beneficial ownership of such 3,034,031 shares.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D. E. Shaw &amp; Co., L.P.: 5.1% David E. Shaw: 5.1%  %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D. E. Shaw &amp; Co., L.P.: 0 shares David E. Shaw: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D. E. Shaw &amp; Co., L.P.: 2,863,931 shares David E. Shaw: 2,863,931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D. E. Shaw &amp; Co., L.P.: 0 shares David E. Shaw: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D. E. Shaw &amp; Co., L.P.: 3,034,031 shares David E. Shaw: 3,034,031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5.</w:t>
            </w:r>
          </w:p>
        </w:tc>
        <w:tc>
          <w:tcPr>
            <w:tcW w:w="890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6.</w:t>
            </w:r>
          </w:p>
        </w:tc>
        <w:tc>
          <w:tcPr>
            <w:tcW w:w="890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7.</w:t>
            </w:r>
          </w:p>
        </w:tc>
        <w:tc>
          <w:tcPr>
            <w:tcW w:w="890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8.</w:t>
            </w:r>
          </w:p>
        </w:tc>
        <w:tc>
          <w:tcPr>
            <w:tcW w:w="890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9.</w:t>
            </w:r>
          </w:p>
        </w:tc>
        <w:tc>
          <w:tcPr>
            <w:tcW w:w="890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96" w:type="dxa"/>
        <w:jc w:val="left"/>
        <w:tblInd w:w="0" w:type="dxa"/>
        <w:tblLayout w:type="fixed"/>
        <w:tblCellMar>
          <w:top w:w="28" w:type="dxa"/>
          <w:left w:w="28" w:type="dxa"/>
          <w:bottom w:w="28" w:type="dxa"/>
          <w:right w:w="28" w:type="dxa"/>
        </w:tblCellMar>
      </w:tblPr>
      <w:tblGrid>
        <w:gridCol w:w="2548"/>
        <w:gridCol w:w="2548"/>
      </w:tblGrid>
      <w:tr>
        <w:trPr/>
        <w:tc>
          <w:tcPr>
            <w:tcW w:w="2548" w:type="dxa"/>
            <w:tcBorders/>
            <w:vAlign w:val="center"/>
          </w:tcPr>
          <w:p>
            <w:pPr>
              <w:pStyle w:val="TableContents"/>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0"/>
                    <w:jc w:val="left"/>
                    <w:rPr/>
                  </w:pPr>
                  <w:r>
                    <w:rPr/>
                    <w:t>D. E. Shaw &amp; Co., L.P.</w:t>
                  </w:r>
                </w:p>
              </w:tc>
            </w:tr>
          </w:tbl>
          <w:p>
            <w:pPr>
              <w:pStyle w:val="TableContents"/>
              <w:bidi w:val="0"/>
              <w:spacing w:before="0" w:after="283"/>
              <w:jc w:val="left"/>
              <w:rPr/>
            </w:pPr>
            <w:r>
              <w:rPr/>
            </w:r>
          </w:p>
        </w:tc>
        <w:tc>
          <w:tcPr>
            <w:tcW w:w="25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Daniel R. Marcus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Daniel R. Marcus / Chief Compliance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David E. Shaw</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67"/>
        <w:gridCol w:w="4038"/>
      </w:tblGrid>
      <w:tr>
        <w:trPr/>
        <w:tc>
          <w:tcPr>
            <w:tcW w:w="61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Daniel R. Marcus</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Daniel R. Marcus / Attorney-in-Fact for David E. Shaw</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0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Exhibit 1: Power of Attorney, granted by David E. Shaw relating to D. E. Shaw &amp; Co., Inc., in favor of the signatories hereto, among others, dated August 1, 2024.</w:t>
      </w:r>
    </w:p>
    <w:tbl>
      <w:tblPr>
        <w:tblW w:w="8866" w:type="dxa"/>
        <w:jc w:val="left"/>
        <w:tblInd w:w="0" w:type="dxa"/>
        <w:tblLayout w:type="fixed"/>
        <w:tblCellMar>
          <w:top w:w="28" w:type="dxa"/>
          <w:left w:w="28" w:type="dxa"/>
          <w:bottom w:w="28" w:type="dxa"/>
          <w:right w:w="28" w:type="dxa"/>
        </w:tblCellMar>
      </w:tblPr>
      <w:tblGrid>
        <w:gridCol w:w="8866"/>
      </w:tblGrid>
      <w:tr>
        <w:trPr/>
        <w:tc>
          <w:tcPr>
            <w:tcW w:w="8866" w:type="dxa"/>
            <w:tcBorders/>
            <w:vAlign w:val="center"/>
          </w:tcPr>
          <w:p>
            <w:pPr>
              <w:pStyle w:val="TableContents"/>
              <w:bidi w:val="0"/>
              <w:spacing w:before="0" w:after="283"/>
              <w:jc w:val="center"/>
              <w:rPr>
                <w:b/>
              </w:rPr>
            </w:pPr>
            <w:r>
              <w:rPr>
                <w:b/>
              </w:rPr>
              <w:t xml:space="preserve">Exhibit Information </w:t>
            </w:r>
          </w:p>
        </w:tc>
      </w:tr>
      <w:tr>
        <w:trPr/>
        <w:tc>
          <w:tcPr>
            <w:tcW w:w="8866" w:type="dxa"/>
            <w:tcBorders/>
            <w:vAlign w:val="center"/>
          </w:tcPr>
          <w:p>
            <w:pPr>
              <w:pStyle w:val="TableContents"/>
              <w:bidi w:val="0"/>
              <w:spacing w:before="0" w:after="283"/>
              <w:jc w:val="left"/>
              <w:rPr/>
            </w:pPr>
            <w:r>
              <w:rPr/>
              <w:t>Exhibit 2: Joint Filing Agreement, by and among the Reporting Persons, dated July 2, 2026.</w:t>
            </w:r>
          </w:p>
        </w:tc>
      </w:tr>
    </w:tbl>
    <w:p>
      <w:pPr>
        <w:pStyle w:val="TextBody"/>
        <w:bidi w:val="0"/>
        <w:jc w:val="right"/>
        <w:rPr/>
      </w:pPr>
      <w:bookmarkStart w:id="20" w:name="tm2619494d1_ex-1.htm"/>
      <w:bookmarkStart w:id="21" w:name="kstm2619494d1_ex1"/>
      <w:bookmarkEnd w:id="20"/>
      <w:bookmarkEnd w:id="21"/>
      <w:r>
        <w:rPr/>
        <w:t> </w:t>
      </w:r>
      <w:r>
        <w:br w:type="page"/>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REGULATORY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CERTAIN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INVESTMENT ADVISERS ACT OF 1940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David E. Shaw, hereby make, constitute, and appoint each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Deaton,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Dinning,</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Fishman,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Alexis Halaby,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Edwin Jager,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Lebwohl,</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Marcus,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Anoop Prasad,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Maximilian Stone, and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Sweet,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individually in such person’s capacity as an employee of D. E. Shaw &amp; Co., L.P. or one of its subsidiaries, as my agent and attorney-in-fact, with full power of substitution, for the purpose of, from time to time, (i) executing in my name, in my capacity as President of D. E. Shaw &amp; Co., Inc. (acting for itself or as the general partner of D. E. Shaw &amp; Co., L.P.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U.S. or non-U.S. governmental or regulatory authority, including without limitation Form ADV, Forms 3, 4, 5, and 13F, and Schedules 13D and 13G required to be filed with the U.S. Securities and Exchange Commission, and/or (ii) delivering, furnishing, or filing, in each case whether themself or through their designee, any such documents to or with the appropriate governmental or regulatory authority.  Any such determination shall be conclusively evidenced by such person’s execution of, and/or their (or their designee’s) delivery, furnishing, and/or filing of, the applicable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be valid as of the date set forth below and replaces the power granted on March 1, 2017, which is hereby cancelled.  Furthermore, this power of attorney shall be valid with respect to any particular individual set forth above only for so long as such person remains employed by D. E. Shaw &amp; Co., L.P. or one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HEREOF, I have executed this instrument as of the date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845" w:type="dxa"/>
        <w:jc w:val="left"/>
        <w:tblInd w:w="0" w:type="dxa"/>
        <w:tblLayout w:type="fixed"/>
        <w:tblCellMar>
          <w:top w:w="0" w:type="dxa"/>
          <w:left w:w="0" w:type="dxa"/>
          <w:bottom w:w="0" w:type="dxa"/>
          <w:right w:w="0" w:type="dxa"/>
        </w:tblCellMar>
      </w:tblPr>
      <w:tblGrid>
        <w:gridCol w:w="3710"/>
        <w:gridCol w:w="60"/>
        <w:gridCol w:w="75"/>
      </w:tblGrid>
      <w:tr>
        <w:trPr/>
        <w:tc>
          <w:tcPr>
            <w:tcW w:w="3710" w:type="dxa"/>
            <w:tcBorders/>
            <w:vAlign w:val="center"/>
          </w:tcPr>
          <w:p>
            <w:pPr>
              <w:pStyle w:val="TableContents"/>
              <w:bidi w:val="0"/>
              <w:spacing w:before="0" w:after="283"/>
              <w:jc w:val="left"/>
              <w:rPr/>
            </w:pPr>
            <w:r>
              <w:rPr/>
              <w:t>/s/ David E. Shaw</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710" w:type="dxa"/>
            <w:tcBorders/>
            <w:vAlign w:val="center"/>
          </w:tcPr>
          <w:p>
            <w:pPr>
              <w:pStyle w:val="TableContents"/>
              <w:bidi w:val="0"/>
              <w:spacing w:before="0" w:after="283"/>
              <w:jc w:val="left"/>
              <w:rPr/>
            </w:pPr>
            <w:r>
              <w:rPr/>
              <w:t>David E. Shaw,</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710" w:type="dxa"/>
            <w:tcBorders/>
            <w:vAlign w:val="center"/>
          </w:tcPr>
          <w:p>
            <w:pPr>
              <w:pStyle w:val="TableContents"/>
              <w:bidi w:val="0"/>
              <w:spacing w:before="0" w:after="283"/>
              <w:jc w:val="left"/>
              <w:rPr/>
            </w:pPr>
            <w:r>
              <w:rPr/>
              <w:t>as President of D. E. Shaw &amp; Co., Inc.</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19494d1_ex-2.htm"/>
      <w:bookmarkStart w:id="23" w:name="kstm2619494d1_ex2"/>
      <w:bookmarkEnd w:id="22"/>
      <w:bookmarkEnd w:id="23"/>
      <w:r>
        <w:rPr/>
        <w:t> </w:t>
      </w:r>
      <w:r>
        <w:br w:type="page"/>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under the Securities Exchange Act of 1934, as amended, each of the undersigned Reporting Persons hereby agrees to the joint filing, along with all other such Reporting Persons, on behalf of each of them of a statement on Schedule 13G (including amendments thereto) with respect to the Common Stock, Par Value $0.001 per share, of Agios Pharmaceuticals, Inc., and that this Agreement be included as an Exhibit to such joint filing. This Agreement may be executed in any number of counterparts, all of which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undersigned hereby executes this Agreement as of this 2nd day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320"/>
        <w:gridCol w:w="2120"/>
      </w:tblGrid>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sz w:val="20"/>
              </w:rPr>
            </w:pPr>
            <w:r>
              <w:rPr>
                <w:sz w:val="20"/>
              </w:rPr>
              <w:t>D. E. Shaw &amp; Co., L.P.</w:t>
            </w:r>
          </w:p>
        </w:tc>
      </w:tr>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120"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sz w:val="20"/>
              </w:rPr>
            </w:pPr>
            <w:r>
              <w:rPr>
                <w:sz w:val="20"/>
              </w:rPr>
              <w:t>Chief Compliance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29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75"/>
        <w:gridCol w:w="320"/>
        <w:gridCol w:w="2885"/>
      </w:tblGrid>
      <w:tr>
        <w:trPr/>
        <w:tc>
          <w:tcPr>
            <w:tcW w:w="75" w:type="dxa"/>
            <w:tcBorders/>
            <w:vAlign w:val="center"/>
          </w:tcPr>
          <w:p>
            <w:pPr>
              <w:pStyle w:val="TableContents"/>
              <w:bidi w:val="0"/>
              <w:spacing w:before="0" w:after="283"/>
              <w:jc w:val="left"/>
              <w:rPr/>
            </w:pPr>
            <w:r>
              <w:rPr/>
              <w:t> </w:t>
            </w:r>
          </w:p>
        </w:tc>
        <w:tc>
          <w:tcPr>
            <w:tcW w:w="3205" w:type="dxa"/>
            <w:gridSpan w:val="2"/>
            <w:tcBorders/>
            <w:vAlign w:val="center"/>
          </w:tcPr>
          <w:p>
            <w:pPr>
              <w:pStyle w:val="TableContents"/>
              <w:bidi w:val="0"/>
              <w:spacing w:before="0" w:after="283"/>
              <w:jc w:val="left"/>
              <w:rPr>
                <w:sz w:val="20"/>
              </w:rPr>
            </w:pPr>
            <w:r>
              <w:rPr>
                <w:sz w:val="20"/>
              </w:rPr>
              <w:t>David E. Shaw</w:t>
            </w:r>
          </w:p>
        </w:tc>
      </w:tr>
      <w:tr>
        <w:trPr/>
        <w:tc>
          <w:tcPr>
            <w:tcW w:w="75" w:type="dxa"/>
            <w:tcBorders/>
            <w:vAlign w:val="center"/>
          </w:tcPr>
          <w:p>
            <w:pPr>
              <w:pStyle w:val="TableContents"/>
              <w:bidi w:val="0"/>
              <w:spacing w:before="0" w:after="283"/>
              <w:jc w:val="left"/>
              <w:rPr/>
            </w:pPr>
            <w:r>
              <w:rPr/>
              <w:t> </w:t>
            </w:r>
          </w:p>
        </w:tc>
        <w:tc>
          <w:tcPr>
            <w:tcW w:w="320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885"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sz w:val="20"/>
              </w:rPr>
            </w:pPr>
            <w:r>
              <w:rPr>
                <w:sz w:val="20"/>
              </w:rPr>
              <w:t>Attorney-in-Fact for David E. Shaw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1844</Words>
  <Characters>9161</Characters>
  <CharactersWithSpaces>10990</CharactersWithSpaces>
  <Paragraphs>295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