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49530</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52705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680" w:right="100" w:hanging="654"/>
        <w:spacing w:after="0" w:line="236"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 w:lineRule="exact"/>
        <w:rPr>
          <w:sz w:val="24"/>
          <w:szCs w:val="24"/>
          <w:color w:val="auto"/>
        </w:rPr>
      </w:pPr>
    </w:p>
    <w:p>
      <w:pPr>
        <w:ind w:left="700" w:right="420" w:hanging="654"/>
        <w:spacing w:after="0" w:line="236"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71120</wp:posOffset>
            </wp:positionV>
            <wp:extent cx="1517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AGIOS PHARMACEUTICALS,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21590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8" w:lineRule="exact"/>
        <w:rPr>
          <w:sz w:val="24"/>
          <w:szCs w:val="24"/>
          <w:color w:val="auto"/>
        </w:rPr>
      </w:pPr>
    </w:p>
    <w:tbl>
      <w:tblPr>
        <w:tblLayout w:type="fixed"/>
        <w:tblInd w:w="980" w:type="dxa"/>
        <w:tblCellMar>
          <w:top w:w="0" w:type="dxa"/>
          <w:left w:w="0" w:type="dxa"/>
          <w:bottom w:w="0" w:type="dxa"/>
          <w:right w:w="0" w:type="dxa"/>
        </w:tblCellMar>
      </w:tblPr>
      <w:tr>
        <w:trPr>
          <w:trHeight w:val="227"/>
        </w:trPr>
        <w:tc>
          <w:tcPr>
            <w:tcW w:w="5020" w:type="dxa"/>
            <w:vAlign w:val="bottom"/>
          </w:tcPr>
          <w:p>
            <w:pPr>
              <w:jc w:val="center"/>
              <w:ind w:right="15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26-0662915</w:t>
            </w:r>
          </w:p>
        </w:tc>
      </w:tr>
      <w:tr>
        <w:trPr>
          <w:trHeight w:val="148"/>
        </w:trPr>
        <w:tc>
          <w:tcPr>
            <w:tcW w:w="5020" w:type="dxa"/>
            <w:vAlign w:val="bottom"/>
          </w:tcPr>
          <w:p>
            <w:pPr>
              <w:jc w:val="center"/>
              <w:ind w:right="156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jc w:val="center"/>
              <w:ind w:left="15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02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jc w:val="center"/>
              <w:ind w:left="15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2"/>
        </w:trPr>
        <w:tc>
          <w:tcPr>
            <w:tcW w:w="5020" w:type="dxa"/>
            <w:vAlign w:val="bottom"/>
          </w:tcPr>
          <w:p>
            <w:pPr>
              <w:jc w:val="center"/>
              <w:ind w:right="1541"/>
              <w:spacing w:after="0"/>
              <w:rPr>
                <w:sz w:val="20"/>
                <w:szCs w:val="20"/>
                <w:color w:val="auto"/>
              </w:rPr>
            </w:pPr>
            <w:r>
              <w:rPr>
                <w:rFonts w:ascii="Times New Roman" w:cs="Times New Roman" w:eastAsia="Times New Roman" w:hAnsi="Times New Roman"/>
                <w:sz w:val="18"/>
                <w:szCs w:val="18"/>
                <w:b w:val="1"/>
                <w:bCs w:val="1"/>
                <w:color w:val="auto"/>
                <w:w w:val="99"/>
              </w:rPr>
              <w:t>88 Sidney Street, Cambridge, Massachusetts</w:t>
            </w:r>
          </w:p>
        </w:tc>
        <w:tc>
          <w:tcPr>
            <w:tcW w:w="27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5020" w:type="dxa"/>
            <w:vAlign w:val="bottom"/>
          </w:tcPr>
          <w:p>
            <w:pPr>
              <w:jc w:val="center"/>
              <w:ind w:right="15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jc w:val="center"/>
              <w:ind w:left="14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(617) 649-8600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3"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AGIO</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7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8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40" w:firstLine="43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20" w:firstLine="432"/>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7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00" w:firstLine="432"/>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220" w:firstLine="432"/>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Number of shares of the registrant’s Common Stock, $0.001 par value, outstanding on April 24, 2026: 59,471,609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about Agios Pharmaceuticals, Inc.</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these reports filed or furnished pursuant to Section 13(a) or 15(d) of the Securities Exchange Act of 1934, as amended, are available free of charge on our website located at www.agios.com as soon as reasonably practicable after they are filed with or furnished to the Securities and Exchange Commission, or SEC. These reports are also available at the SEC’s website at www.sec.gov.</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disclose information to the public concerning our business, products and product candidates and other items through a variety of disclosure channels in order to achieve broad, non-exclusionary distribution of information to the public, including press releases, SEC filings and public conference calls and webcasts. Some of the information distributed through these disclosure channels may be considered material information. Investors and others are encouraged to review the information we make public through our disclosure channels.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Agios plans to use its website (www.agios.com) as a distribution channel to announce and give notice of Agios’ upcoming events and presentations (including, but not limited to, presentations at medical or healthcare conferences). Such information, which may be deemed material, will be available on the “Investors” section of the Company’s website under the “Events &amp; Presentations” tab. Investors and others are encouraged to monitor the website and review such information Agios makes public through the website. In addition, you may sign up to automatically receive email alerts about Agios’ upcoming events and presentations (“Calendar Alerts”) by visiting the “Email Alerts” option under the “IR Resources” tab of the “Investors” section of the Company’s website and submitting your email address.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website, and the contents thereof, are not incorporated by reference into this Quarterly Report on Form 10-Q nor deemed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80" w:type="dxa"/>
            <w:vAlign w:val="bottom"/>
            <w:gridSpan w:val="7"/>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AGIOS PHARMACEUTICALS,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80" w:type="dxa"/>
            <w:vAlign w:val="bottom"/>
            <w:gridSpan w:val="6"/>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gridSpan w:val="8"/>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2026</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80" w:type="dxa"/>
            <w:vAlign w:val="bottom"/>
            <w:gridSpan w:val="7"/>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0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 (Unaudited)</w:t>
            </w:r>
          </w:p>
        </w:tc>
        <w:tc>
          <w:tcPr>
            <w:tcW w:w="6480" w:type="dxa"/>
            <w:vAlign w:val="bottom"/>
            <w:gridSpan w:val="7"/>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2026 and 2025</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3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Months Ended March 31, 2026 and 2025</w:t>
            </w:r>
          </w:p>
        </w:tc>
        <w:tc>
          <w:tcPr>
            <w:tcW w:w="700" w:type="dxa"/>
            <w:vAlign w:val="bottom"/>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140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Borders>
              <w:bottom w:val="single" w:sz="8" w:color="0000FF"/>
            </w:tcBorders>
            <w:shd w:val="clear" w:color="auto" w:fill="0000FF"/>
          </w:tcPr>
          <w:p>
            <w:pPr>
              <w:spacing w:after="0" w:line="20" w:lineRule="exact"/>
              <w:rPr>
                <w:sz w:val="1"/>
                <w:szCs w:val="1"/>
                <w:color w:val="auto"/>
              </w:rPr>
            </w:pPr>
          </w:p>
        </w:tc>
        <w:tc>
          <w:tcPr>
            <w:tcW w:w="160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Borders>
              <w:bottom w:val="single" w:sz="8" w:color="0000FF"/>
            </w:tcBorders>
            <w:shd w:val="clear" w:color="auto" w:fill="0000FF"/>
          </w:tcPr>
          <w:p>
            <w:pPr>
              <w:spacing w:after="0" w:line="20" w:lineRule="exact"/>
              <w:rPr>
                <w:sz w:val="1"/>
                <w:szCs w:val="1"/>
                <w:color w:val="auto"/>
              </w:rPr>
            </w:pPr>
          </w:p>
        </w:tc>
        <w:tc>
          <w:tcPr>
            <w:tcW w:w="800" w:type="dxa"/>
            <w:vAlign w:val="bottom"/>
            <w:tcBorders>
              <w:bottom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bottom w:val="single" w:sz="8" w:color="0000FF"/>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38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2026 and 2025</w:t>
            </w:r>
          </w:p>
        </w:tc>
        <w:tc>
          <w:tcPr>
            <w:tcW w:w="700" w:type="dxa"/>
            <w:vAlign w:val="bottom"/>
            <w:vMerge w:val="restart"/>
          </w:tcPr>
          <w:p>
            <w:pPr>
              <w:spacing w:after="0"/>
              <w:rPr>
                <w:sz w:val="23"/>
                <w:szCs w:val="23"/>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380" w:type="dxa"/>
            <w:vAlign w:val="bottom"/>
            <w:tcBorders>
              <w:bottom w:val="single" w:sz="8" w:color="0000FF"/>
            </w:tcBorders>
            <w:gridSpan w:val="15"/>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640" w:type="dxa"/>
            <w:vAlign w:val="bottom"/>
            <w:gridSpan w:val="4"/>
          </w:tcPr>
          <w:p>
            <w:pPr>
              <w:spacing w:after="0"/>
              <w:rPr>
                <w:sz w:val="24"/>
                <w:szCs w:val="24"/>
                <w:color w:val="auto"/>
              </w:rPr>
            </w:pPr>
          </w:p>
        </w:tc>
        <w:tc>
          <w:tcPr>
            <w:tcW w:w="1440" w:type="dxa"/>
            <w:vAlign w:val="bottom"/>
            <w:gridSpan w:val="2"/>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224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6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Quantitative and Qualitative Disclosures About Market Risk</w:t>
            </w:r>
          </w:p>
        </w:tc>
        <w:tc>
          <w:tcPr>
            <w:tcW w:w="440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Controls and Procedures</w:t>
            </w:r>
          </w:p>
        </w:tc>
        <w:tc>
          <w:tcPr>
            <w:tcW w:w="716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740" w:type="dxa"/>
            <w:vAlign w:val="bottom"/>
            <w:tcBorders>
              <w:top w:val="single" w:sz="8" w:color="0000FF"/>
            </w:tcBorders>
            <w:gridSpan w:val="2"/>
          </w:tcPr>
          <w:p>
            <w:pPr>
              <w:spacing w:after="0"/>
              <w:rPr>
                <w:sz w:val="24"/>
                <w:szCs w:val="24"/>
                <w:color w:val="auto"/>
              </w:rPr>
            </w:pPr>
          </w:p>
        </w:tc>
        <w:tc>
          <w:tcPr>
            <w:tcW w:w="736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0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40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6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1"/>
        </w:trPr>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724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40" w:type="dxa"/>
            <w:vAlign w:val="bottom"/>
          </w:tcPr>
          <w:p>
            <w:pPr>
              <w:jc w:val="center"/>
              <w:ind w:left="1652"/>
              <w:spacing w:after="0"/>
              <w:rPr>
                <w:sz w:val="20"/>
                <w:szCs w:val="20"/>
                <w:color w:val="auto"/>
              </w:rPr>
            </w:pPr>
            <w:r>
              <w:rPr>
                <w:rFonts w:ascii="Times New Roman" w:cs="Times New Roman" w:eastAsia="Times New Roman" w:hAnsi="Times New Roman"/>
                <w:sz w:val="18"/>
                <w:szCs w:val="18"/>
                <w:b w:val="1"/>
                <w:bCs w:val="1"/>
                <w:color w:val="auto"/>
                <w:w w:val="99"/>
              </w:rPr>
              <w:t>AGIOS PHARMACEUTICALS, INC.</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40" w:type="dxa"/>
            <w:vAlign w:val="bottom"/>
          </w:tcPr>
          <w:p>
            <w:pPr>
              <w:jc w:val="center"/>
              <w:ind w:left="1652"/>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40" w:type="dxa"/>
            <w:vAlign w:val="bottom"/>
          </w:tcPr>
          <w:p>
            <w:pPr>
              <w:jc w:val="center"/>
              <w:ind w:left="1652"/>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240" w:type="dxa"/>
            <w:vAlign w:val="bottom"/>
          </w:tcPr>
          <w:p>
            <w:pPr>
              <w:spacing w:after="0"/>
              <w:rPr>
                <w:sz w:val="13"/>
                <w:szCs w:val="13"/>
                <w:color w:val="auto"/>
              </w:rPr>
            </w:pPr>
          </w:p>
        </w:tc>
        <w:tc>
          <w:tcPr>
            <w:tcW w:w="1040" w:type="dxa"/>
            <w:vAlign w:val="bottom"/>
          </w:tcPr>
          <w:p>
            <w:pPr>
              <w:jc w:val="right"/>
              <w:ind w:right="231"/>
              <w:spacing w:after="0" w:line="15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60" w:type="dxa"/>
            <w:vAlign w:val="bottom"/>
          </w:tcPr>
          <w:p>
            <w:pPr>
              <w:jc w:val="right"/>
              <w:ind w:right="91"/>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113,600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89,130</w:t>
            </w:r>
          </w:p>
        </w:tc>
        <w:tc>
          <w:tcPr>
            <w:tcW w:w="0" w:type="dxa"/>
            <w:vAlign w:val="bottom"/>
          </w:tcPr>
          <w:p>
            <w:pPr>
              <w:spacing w:after="0"/>
              <w:rPr>
                <w:sz w:val="1"/>
                <w:szCs w:val="1"/>
                <w:color w:val="auto"/>
              </w:rPr>
            </w:pPr>
          </w:p>
        </w:tc>
      </w:tr>
      <w:tr>
        <w:trPr>
          <w:trHeight w:val="230"/>
        </w:trPr>
        <w:tc>
          <w:tcPr>
            <w:tcW w:w="8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623,438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765,295</w:t>
            </w:r>
          </w:p>
        </w:tc>
        <w:tc>
          <w:tcPr>
            <w:tcW w:w="0" w:type="dxa"/>
            <w:vAlign w:val="bottom"/>
          </w:tcPr>
          <w:p>
            <w:pPr>
              <w:spacing w:after="0"/>
              <w:rPr>
                <w:sz w:val="1"/>
                <w:szCs w:val="1"/>
                <w:color w:val="auto"/>
              </w:rPr>
            </w:pPr>
          </w:p>
        </w:tc>
      </w:tr>
      <w:tr>
        <w:trPr>
          <w:trHeight w:val="229"/>
        </w:trPr>
        <w:tc>
          <w:tcPr>
            <w:tcW w:w="8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16,132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0" w:type="dxa"/>
            <w:vAlign w:val="bottom"/>
          </w:tcPr>
          <w:p>
            <w:pPr>
              <w:spacing w:after="0"/>
              <w:rPr>
                <w:sz w:val="1"/>
                <w:szCs w:val="1"/>
                <w:color w:val="auto"/>
              </w:rPr>
            </w:pPr>
          </w:p>
        </w:tc>
      </w:tr>
      <w:tr>
        <w:trPr>
          <w:trHeight w:val="229"/>
        </w:trPr>
        <w:tc>
          <w:tcPr>
            <w:tcW w:w="8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35,087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32,920</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auto"/>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46,586</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44,130</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834,843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942,052</w:t>
            </w:r>
          </w:p>
        </w:tc>
        <w:tc>
          <w:tcPr>
            <w:tcW w:w="0" w:type="dxa"/>
            <w:vAlign w:val="bottom"/>
          </w:tcPr>
          <w:p>
            <w:pPr>
              <w:spacing w:after="0"/>
              <w:rPr>
                <w:sz w:val="1"/>
                <w:szCs w:val="1"/>
                <w:color w:val="auto"/>
              </w:rPr>
            </w:pPr>
          </w:p>
        </w:tc>
      </w:tr>
      <w:tr>
        <w:trPr>
          <w:trHeight w:val="230"/>
        </w:trPr>
        <w:tc>
          <w:tcPr>
            <w:tcW w:w="8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308,454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310,013</w:t>
            </w:r>
          </w:p>
        </w:tc>
        <w:tc>
          <w:tcPr>
            <w:tcW w:w="0" w:type="dxa"/>
            <w:vAlign w:val="bottom"/>
          </w:tcPr>
          <w:p>
            <w:pPr>
              <w:spacing w:after="0"/>
              <w:rPr>
                <w:sz w:val="1"/>
                <w:szCs w:val="1"/>
                <w:color w:val="auto"/>
              </w:rPr>
            </w:pPr>
          </w:p>
        </w:tc>
      </w:tr>
      <w:tr>
        <w:trPr>
          <w:trHeight w:val="229"/>
        </w:trPr>
        <w:tc>
          <w:tcPr>
            <w:tcW w:w="8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27,196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0" w:type="dxa"/>
            <w:vAlign w:val="bottom"/>
          </w:tcPr>
          <w:p>
            <w:pPr>
              <w:spacing w:after="0"/>
              <w:rPr>
                <w:sz w:val="1"/>
                <w:szCs w:val="1"/>
                <w:color w:val="auto"/>
              </w:rPr>
            </w:pPr>
          </w:p>
        </w:tc>
      </w:tr>
      <w:tr>
        <w:trPr>
          <w:trHeight w:val="229"/>
        </w:trPr>
        <w:tc>
          <w:tcPr>
            <w:tcW w:w="8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3,931</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0" w:type="dxa"/>
            <w:vAlign w:val="bottom"/>
          </w:tcPr>
          <w:p>
            <w:pPr>
              <w:spacing w:after="0"/>
              <w:rPr>
                <w:sz w:val="1"/>
                <w:szCs w:val="1"/>
                <w:color w:val="auto"/>
              </w:rPr>
            </w:pPr>
          </w:p>
        </w:tc>
      </w:tr>
      <w:tr>
        <w:trPr>
          <w:trHeight w:val="230"/>
        </w:trPr>
        <w:tc>
          <w:tcPr>
            <w:tcW w:w="620" w:type="dxa"/>
            <w:vAlign w:val="bottom"/>
            <w:tcBorders>
              <w:bottom w:val="single" w:sz="8" w:color="auto"/>
            </w:tcBorders>
            <w:shd w:val="clear" w:color="auto" w:fill="CCEEFF"/>
          </w:tcPr>
          <w:p>
            <w:pPr>
              <w:spacing w:after="0"/>
              <w:rPr>
                <w:sz w:val="20"/>
                <w:szCs w:val="20"/>
                <w:color w:val="auto"/>
              </w:rPr>
            </w:pPr>
          </w:p>
        </w:tc>
        <w:tc>
          <w:tcPr>
            <w:tcW w:w="808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1,184,990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1,297,225</w:t>
            </w:r>
          </w:p>
        </w:tc>
        <w:tc>
          <w:tcPr>
            <w:tcW w:w="0" w:type="dxa"/>
            <w:vAlign w:val="bottom"/>
          </w:tcPr>
          <w:p>
            <w:pPr>
              <w:spacing w:after="0"/>
              <w:rPr>
                <w:sz w:val="1"/>
                <w:szCs w:val="1"/>
                <w:color w:val="auto"/>
              </w:rPr>
            </w:pPr>
          </w:p>
        </w:tc>
      </w:tr>
      <w:tr>
        <w:trPr>
          <w:trHeight w:val="229"/>
        </w:trPr>
        <w:tc>
          <w:tcPr>
            <w:tcW w:w="8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0" w:type="dxa"/>
            <w:vAlign w:val="bottom"/>
          </w:tcPr>
          <w:p>
            <w:pPr>
              <w:spacing w:after="0"/>
              <w:rPr>
                <w:sz w:val="1"/>
                <w:szCs w:val="1"/>
                <w:color w:val="auto"/>
              </w:rPr>
            </w:pPr>
          </w:p>
        </w:tc>
      </w:tr>
      <w:tr>
        <w:trPr>
          <w:trHeight w:val="230"/>
        </w:trPr>
        <w:tc>
          <w:tcPr>
            <w:tcW w:w="8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26,293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45,459</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18,805</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58,845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0" w:type="dxa"/>
            <w:vAlign w:val="bottom"/>
          </w:tcPr>
          <w:p>
            <w:pPr>
              <w:spacing w:after="0"/>
              <w:rPr>
                <w:sz w:val="1"/>
                <w:szCs w:val="1"/>
                <w:color w:val="auto"/>
              </w:rPr>
            </w:pPr>
          </w:p>
        </w:tc>
      </w:tr>
      <w:tr>
        <w:trPr>
          <w:trHeight w:val="229"/>
        </w:trPr>
        <w:tc>
          <w:tcPr>
            <w:tcW w:w="8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16,940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75,875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104,111</w:t>
            </w:r>
          </w:p>
        </w:tc>
        <w:tc>
          <w:tcPr>
            <w:tcW w:w="0" w:type="dxa"/>
            <w:vAlign w:val="bottom"/>
          </w:tcPr>
          <w:p>
            <w:pPr>
              <w:spacing w:after="0"/>
              <w:rPr>
                <w:sz w:val="1"/>
                <w:szCs w:val="1"/>
                <w:color w:val="auto"/>
              </w:rPr>
            </w:pPr>
          </w:p>
        </w:tc>
      </w:tr>
      <w:tr>
        <w:trPr>
          <w:trHeight w:val="230"/>
        </w:trPr>
        <w:tc>
          <w:tcPr>
            <w:tcW w:w="8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700" w:type="dxa"/>
            <w:vAlign w:val="bottom"/>
            <w:gridSpan w:val="3"/>
          </w:tcPr>
          <w:p>
            <w:pPr>
              <w:ind w:left="360"/>
              <w:spacing w:after="0" w:line="184" w:lineRule="exact"/>
              <w:rPr>
                <w:sz w:val="20"/>
                <w:szCs w:val="20"/>
                <w:color w:val="auto"/>
              </w:rPr>
            </w:pPr>
            <w:r>
              <w:rPr>
                <w:rFonts w:ascii="Times New Roman" w:cs="Times New Roman" w:eastAsia="Times New Roman" w:hAnsi="Times New Roman"/>
                <w:sz w:val="18"/>
                <w:szCs w:val="18"/>
                <w:color w:val="auto"/>
              </w:rPr>
              <w:t>Preferred stock, $0.001 par value; 25,000,000 shares authorized; no shares issued or outstanding at March 31, 2026</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and December 31, 2025</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8700" w:type="dxa"/>
            <w:vAlign w:val="bottom"/>
            <w:gridSpan w:val="3"/>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$0.001 par value; 125,000,000 shares authorized; 75,557,749 shares issued and 59,341,338</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March 31, 2026, and 74,665,003 shares issued and 58,448,592 outstanding at December 31, 2025</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8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2,572,655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2,555,037</w:t>
            </w:r>
          </w:p>
        </w:tc>
        <w:tc>
          <w:tcPr>
            <w:tcW w:w="0" w:type="dxa"/>
            <w:vAlign w:val="bottom"/>
          </w:tcPr>
          <w:p>
            <w:pPr>
              <w:spacing w:after="0"/>
              <w:rPr>
                <w:sz w:val="1"/>
                <w:szCs w:val="1"/>
                <w:color w:val="auto"/>
              </w:rPr>
            </w:pPr>
          </w:p>
        </w:tc>
      </w:tr>
      <w:tr>
        <w:trPr>
          <w:trHeight w:val="230"/>
        </w:trPr>
        <w:tc>
          <w:tcPr>
            <w:tcW w:w="8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30"/>
        </w:trPr>
        <w:tc>
          <w:tcPr>
            <w:tcW w:w="8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(660,816)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(561,705)</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auto"/>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(16,216,411 shares at March 31, 2026 and December 31, 2025)</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(802,486)</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(802,486)</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1,109,115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1,193,114</w:t>
            </w:r>
          </w:p>
        </w:tc>
        <w:tc>
          <w:tcPr>
            <w:tcW w:w="0" w:type="dxa"/>
            <w:vAlign w:val="bottom"/>
          </w:tcPr>
          <w:p>
            <w:pPr>
              <w:spacing w:after="0"/>
              <w:rPr>
                <w:sz w:val="1"/>
                <w:szCs w:val="1"/>
                <w:color w:val="auto"/>
              </w:rPr>
            </w:pPr>
          </w:p>
        </w:tc>
      </w:tr>
      <w:tr>
        <w:trPr>
          <w:trHeight w:val="236"/>
        </w:trPr>
        <w:tc>
          <w:tcPr>
            <w:tcW w:w="620" w:type="dxa"/>
            <w:vAlign w:val="bottom"/>
            <w:tcBorders>
              <w:bottom w:val="single" w:sz="8" w:color="auto"/>
            </w:tcBorders>
            <w:shd w:val="clear" w:color="auto" w:fill="CCEEFF"/>
          </w:tcPr>
          <w:p>
            <w:pPr>
              <w:spacing w:after="0"/>
              <w:rPr>
                <w:sz w:val="20"/>
                <w:szCs w:val="20"/>
                <w:color w:val="auto"/>
              </w:rPr>
            </w:pPr>
          </w:p>
        </w:tc>
        <w:tc>
          <w:tcPr>
            <w:tcW w:w="808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1,184,990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1,297,225</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AGIOS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20,746</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20,746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1,319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81,148</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72,743</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48,304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41,527</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130,771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115,355</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(106,629)</w:t>
            </w:r>
          </w:p>
        </w:tc>
        <w:tc>
          <w:tcPr>
            <w:tcW w:w="0" w:type="dxa"/>
            <w:vAlign w:val="bottom"/>
          </w:tcPr>
          <w:p>
            <w:pPr>
              <w:spacing w:after="0"/>
              <w:rPr>
                <w:sz w:val="1"/>
                <w:szCs w:val="1"/>
                <w:color w:val="auto"/>
              </w:rPr>
            </w:pP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10,795</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17"/>
        </w:trPr>
        <w:tc>
          <w:tcPr>
            <w:tcW w:w="84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(99,111)</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used in computing net loss per share – basic and diluted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58,782,241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57,459,195</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AGIOS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(87,406)</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AGIOS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jc w:val="right"/>
              <w:ind w:right="184"/>
              <w:spacing w:after="0" w:line="77"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6"/>
                <w:szCs w:val="6"/>
                <w:color w:val="auto"/>
              </w:rPr>
            </w:pPr>
          </w:p>
        </w:tc>
        <w:tc>
          <w:tcPr>
            <w:tcW w:w="1180" w:type="dxa"/>
            <w:vAlign w:val="bottom"/>
          </w:tcPr>
          <w:p>
            <w:pPr>
              <w:jc w:val="center"/>
              <w:ind w:right="105"/>
              <w:spacing w:after="0" w:line="77"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220" w:type="dxa"/>
            <w:vAlign w:val="bottom"/>
          </w:tcPr>
          <w:p>
            <w:pPr>
              <w:spacing w:after="0"/>
              <w:rPr>
                <w:sz w:val="6"/>
                <w:szCs w:val="6"/>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tcPr>
          <w:p>
            <w:pPr>
              <w:jc w:val="center"/>
              <w:ind w:right="140"/>
              <w:spacing w:after="0" w:line="77" w:lineRule="exact"/>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146"/>
        </w:trPr>
        <w:tc>
          <w:tcPr>
            <w:tcW w:w="2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amounts)</w:t>
            </w:r>
          </w:p>
        </w:tc>
        <w:tc>
          <w:tcPr>
            <w:tcW w:w="9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64"/>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80" w:type="dxa"/>
            <w:vAlign w:val="bottom"/>
          </w:tcPr>
          <w:p>
            <w:pPr>
              <w:jc w:val="center"/>
              <w:ind w:right="85"/>
              <w:spacing w:after="0" w:line="146" w:lineRule="exact"/>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260" w:type="dxa"/>
            <w:vAlign w:val="bottom"/>
            <w:tcBorders>
              <w:bottom w:val="single" w:sz="8" w:color="auto"/>
            </w:tcBorders>
            <w:gridSpan w:val="3"/>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2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74,665,003</w:t>
            </w:r>
          </w:p>
        </w:tc>
        <w:tc>
          <w:tcPr>
            <w:tcW w:w="50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2,555,037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2,193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(561,705)</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(16,216,411)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(802,486)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1,193,114</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18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6"/>
                <w:szCs w:val="16"/>
                <w:color w:val="auto"/>
              </w:rPr>
              <w:t>Unrealized loss on</w:t>
            </w:r>
          </w:p>
        </w:tc>
        <w:tc>
          <w:tcPr>
            <w:tcW w:w="9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22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(2,507)</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9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280"/>
              <w:spacing w:after="0" w:line="165" w:lineRule="exact"/>
              <w:rPr>
                <w:sz w:val="20"/>
                <w:szCs w:val="20"/>
                <w:color w:val="auto"/>
              </w:rPr>
            </w:pPr>
            <w:r>
              <w:rPr>
                <w:rFonts w:ascii="Times New Roman" w:cs="Times New Roman" w:eastAsia="Times New Roman" w:hAnsi="Times New Roman"/>
                <w:sz w:val="16"/>
                <w:szCs w:val="16"/>
                <w:color w:val="auto"/>
              </w:rPr>
              <w:t>Common stock issued under</w:t>
            </w: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280"/>
              <w:spacing w:after="0" w:line="162" w:lineRule="exact"/>
              <w:rPr>
                <w:sz w:val="20"/>
                <w:szCs w:val="20"/>
                <w:color w:val="auto"/>
              </w:rPr>
            </w:pPr>
            <w:r>
              <w:rPr>
                <w:rFonts w:ascii="Times New Roman" w:cs="Times New Roman" w:eastAsia="Times New Roman" w:hAnsi="Times New Roman"/>
                <w:sz w:val="16"/>
                <w:szCs w:val="16"/>
                <w:color w:val="auto"/>
              </w:rPr>
              <w:t>stock incentive plan and</w:t>
            </w:r>
          </w:p>
        </w:tc>
        <w:tc>
          <w:tcPr>
            <w:tcW w:w="9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892,746</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2,077</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ESPP</w:t>
            </w:r>
          </w:p>
        </w:tc>
        <w:tc>
          <w:tcPr>
            <w:tcW w:w="9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18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color w:val="auto"/>
              </w:rPr>
              <w:t>15,541</w:t>
            </w:r>
          </w:p>
        </w:tc>
        <w:tc>
          <w:tcPr>
            <w:tcW w:w="200" w:type="dxa"/>
            <w:vAlign w:val="bottom"/>
          </w:tcPr>
          <w:p>
            <w:pPr>
              <w:spacing w:after="0"/>
              <w:rPr>
                <w:sz w:val="14"/>
                <w:szCs w:val="14"/>
                <w:color w:val="auto"/>
              </w:rPr>
            </w:pPr>
          </w:p>
        </w:tc>
        <w:tc>
          <w:tcPr>
            <w:tcW w:w="1180" w:type="dxa"/>
            <w:vAlign w:val="bottom"/>
            <w:vMerge w:val="restart"/>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expense</w:t>
            </w:r>
          </w:p>
        </w:tc>
        <w:tc>
          <w:tcPr>
            <w:tcW w:w="9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(99,111)</w:t>
            </w:r>
          </w:p>
        </w:tc>
        <w:tc>
          <w:tcPr>
            <w:tcW w:w="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(99,111)</w:t>
            </w:r>
          </w:p>
        </w:tc>
        <w:tc>
          <w:tcPr>
            <w:tcW w:w="0" w:type="dxa"/>
            <w:vAlign w:val="bottom"/>
          </w:tcPr>
          <w:p>
            <w:pPr>
              <w:spacing w:after="0"/>
              <w:rPr>
                <w:sz w:val="1"/>
                <w:szCs w:val="1"/>
                <w:color w:val="auto"/>
              </w:rPr>
            </w:pPr>
          </w:p>
        </w:tc>
      </w:tr>
      <w:tr>
        <w:trPr>
          <w:trHeight w:val="219"/>
        </w:trPr>
        <w:tc>
          <w:tcPr>
            <w:tcW w:w="2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75,557,749</w:t>
            </w:r>
          </w:p>
        </w:tc>
        <w:tc>
          <w:tcPr>
            <w:tcW w:w="5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rPr>
              <w:t>2,572,655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(660,816)</w:t>
            </w: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(16,216,411)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(802,486)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1,109,115</w:t>
            </w:r>
          </w:p>
        </w:tc>
        <w:tc>
          <w:tcPr>
            <w:tcW w:w="0" w:type="dxa"/>
            <w:vAlign w:val="bottom"/>
          </w:tcPr>
          <w:p>
            <w:pPr>
              <w:spacing w:after="0"/>
              <w:rPr>
                <w:sz w:val="1"/>
                <w:szCs w:val="1"/>
                <w:color w:val="auto"/>
              </w:rPr>
            </w:pPr>
          </w:p>
        </w:tc>
      </w:tr>
      <w:tr>
        <w:trPr>
          <w:trHeight w:val="594"/>
        </w:trPr>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144"/>
              <w:spacing w:after="0" w:line="11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00" w:type="dxa"/>
            <w:vAlign w:val="bottom"/>
          </w:tcPr>
          <w:p>
            <w:pPr>
              <w:spacing w:after="0"/>
              <w:rPr>
                <w:sz w:val="10"/>
                <w:szCs w:val="10"/>
                <w:color w:val="auto"/>
              </w:rPr>
            </w:pPr>
          </w:p>
        </w:tc>
        <w:tc>
          <w:tcPr>
            <w:tcW w:w="1180" w:type="dxa"/>
            <w:vAlign w:val="bottom"/>
          </w:tcPr>
          <w:p>
            <w:pPr>
              <w:jc w:val="center"/>
              <w:ind w:right="105"/>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3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amounts)</w:t>
            </w:r>
          </w:p>
        </w:tc>
        <w:tc>
          <w:tcPr>
            <w:tcW w:w="96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300" w:type="dxa"/>
            <w:vAlign w:val="bottom"/>
            <w:gridSpan w:val="3"/>
            <w:vMerge w:val="continue"/>
          </w:tcPr>
          <w:p>
            <w:pPr>
              <w:spacing w:after="0"/>
              <w:rPr>
                <w:sz w:val="12"/>
                <w:szCs w:val="12"/>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1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11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73,372,696</w:t>
            </w:r>
          </w:p>
        </w:tc>
        <w:tc>
          <w:tcPr>
            <w:tcW w:w="500" w:type="dxa"/>
            <w:vAlign w:val="bottom"/>
            <w:tcBorders>
              <w:top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2,493,811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(1,518)</w:t>
            </w: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(148,924)</w:t>
            </w:r>
          </w:p>
        </w:tc>
        <w:tc>
          <w:tcPr>
            <w:tcW w:w="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(16,216,411)</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(802,486)</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1,540,956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18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color w:val="auto"/>
              </w:rPr>
              <w:t>Unrealized gain 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8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auto"/>
              </w:rPr>
              <w:t>1,883</w:t>
            </w:r>
          </w:p>
        </w:tc>
        <w:tc>
          <w:tcPr>
            <w:tcW w:w="220" w:type="dxa"/>
            <w:vAlign w:val="bottom"/>
          </w:tcPr>
          <w:p>
            <w:pPr>
              <w:spacing w:after="0"/>
              <w:rPr>
                <w:sz w:val="14"/>
                <w:szCs w:val="14"/>
                <w:color w:val="auto"/>
              </w:rPr>
            </w:pP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1,883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1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9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2180" w:type="dxa"/>
            <w:vAlign w:val="bottom"/>
            <w:gridSpan w:val="2"/>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Common stock issued</w:t>
            </w: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180" w:type="dxa"/>
            <w:vAlign w:val="bottom"/>
            <w:gridSpan w:val="2"/>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under stock incentive plan</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730,496</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1,618</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ESPP</w:t>
            </w:r>
          </w:p>
        </w:tc>
        <w:tc>
          <w:tcPr>
            <w:tcW w:w="9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18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11,359</w:t>
            </w:r>
          </w:p>
        </w:tc>
        <w:tc>
          <w:tcPr>
            <w:tcW w:w="200" w:type="dxa"/>
            <w:vAlign w:val="bottom"/>
          </w:tcPr>
          <w:p>
            <w:pPr>
              <w:spacing w:after="0"/>
              <w:rPr>
                <w:sz w:val="14"/>
                <w:szCs w:val="14"/>
                <w:color w:val="auto"/>
              </w:rPr>
            </w:pPr>
          </w:p>
        </w:tc>
        <w:tc>
          <w:tcPr>
            <w:tcW w:w="118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11,359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1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expense</w:t>
            </w:r>
          </w:p>
        </w:tc>
        <w:tc>
          <w:tcPr>
            <w:tcW w:w="9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18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(89,289)</w:t>
            </w:r>
          </w:p>
        </w:tc>
        <w:tc>
          <w:tcPr>
            <w:tcW w:w="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2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74,103,192</w:t>
            </w:r>
          </w:p>
        </w:tc>
        <w:tc>
          <w:tcPr>
            <w:tcW w:w="5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2,506,788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365</w:t>
            </w: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(238,213)</w:t>
            </w: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(16,216,411)</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(802,486)</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1,466,528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AGIOS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96"/>
        </w:trPr>
        <w:tc>
          <w:tcPr>
            <w:tcW w:w="8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(99,111)</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w:t>
            </w: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from operations to net cash used in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1,363</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15,541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w:t>
            </w: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accretion of discount on marketable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3,258</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r>
      <w:tr>
        <w:trPr>
          <w:trHeight w:val="229"/>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29"/>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30"/>
        </w:trPr>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and non-current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29"/>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30"/>
        </w:trPr>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w:t>
            </w:r>
          </w:p>
        </w:tc>
      </w:tr>
      <w:tr>
        <w:trPr>
          <w:trHeight w:val="229"/>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84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w:t>
            </w:r>
          </w:p>
        </w:tc>
      </w:tr>
      <w:tr>
        <w:trPr>
          <w:trHeight w:val="223"/>
        </w:trPr>
        <w:tc>
          <w:tcPr>
            <w:tcW w:w="84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(118,920)</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(111,489)</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(174,903)</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3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290,263</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288,256</w:t>
            </w:r>
          </w:p>
        </w:tc>
      </w:tr>
      <w:tr>
        <w:trPr>
          <w:trHeight w:val="229"/>
        </w:trPr>
        <w:tc>
          <w:tcPr>
            <w:tcW w:w="8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3"/>
        </w:trPr>
        <w:tc>
          <w:tcPr>
            <w:tcW w:w="84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141,312</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112,587</w:t>
            </w: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proceeds from stock option exercises and employee stock purchase plan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2,078</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23"/>
        </w:trPr>
        <w:tc>
          <w:tcPr>
            <w:tcW w:w="84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2,078</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24,470</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29"/>
        </w:trPr>
        <w:tc>
          <w:tcPr>
            <w:tcW w:w="8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89,130</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76,247</w:t>
            </w:r>
          </w:p>
        </w:tc>
      </w:tr>
      <w:tr>
        <w:trPr>
          <w:trHeight w:val="217"/>
        </w:trPr>
        <w:tc>
          <w:tcPr>
            <w:tcW w:w="8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113,600</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78,964</w:t>
            </w:r>
          </w:p>
        </w:tc>
      </w:tr>
      <w:tr>
        <w:trPr>
          <w:trHeight w:val="351"/>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transactions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property and equipment in 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Exchanges of marketable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2,229</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taxes paid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AGIOS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Overview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Certain References in this Quarterly Report on Form 10-Q</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this Quarterly Report on Form 10-Q,“Agios,” “the Company,” “we,” “us,” and “our,” and similar expressions, except where the context requires otherwise, refer to Agios Pharmaceuticals, Inc. and its consolidated subsidiaries, and “our Board of Directors” refers to the board of directors of Agios Pharmaceuticals, Inc.</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unless otherwise stated or the context indicates otherwise, all references in this Annual Report on Form 10-K to “AQVESME™ (mitapivat)” or “AQVESME™” refer to our FDA-approved medicine for the treatment of anemia in adults with non-transfusion dependent and transfusion-dependent alpha- or beta-thalassemia in the United States; references to “PYRUKYND® (mitapivat)”, “PYRUKYND®”, or “mitapivat” refer to all other commercially available mitapivat products or mitapivat product candidates for which we are exploring further applications and indications, as the context requires.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commercial-stage biopharmaceutical company dedicated to redefining the future of rare disease treatment. Fueled by connections, we build trusted partnerships with communities, collaborating to develop and deliver innovative medicines that have the potential to transform lives. With a foundation in hematology, we combine biological expertise with real-world insights to advance a growing pipeline of rare disease medicines that reflect the priorities of the people we serve. We are located in Cambridge, Massachusetts.</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lead product candidate in our portfolio, mitapivat, is an activator of both wild-type and mutant pyruvate kinase, or PK, enzymes for the potential treatment of hemolytic anemias. Mitapivat is approved in the United States by the U.S. Food and Drug Administration, or FDA, under the brand name AQVESME™ for the treatment of anemia in adults with non-transfusion dependent and transfusion-dependent alpha- or beta-thalassemia and in Saudi Arabia and the United Arab Emirates under the brand name PYRUKYND® for the treatment of adult patients with non-transfusion-dependent and transfusion-dependent alpha- or beta-thalassemia. Mitapivat is also approved under the brand name PYRUKYND® in the United States by the FDA for the treatment of hemolytic anemia in adults with PK deficiency and in the European Union, or EU, and Great Britain for the treatment of PK deficiency in adults.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we announced that we submitted a marketing authorization application, or MAA, to the European Medicines Agency, or EMA for PYRUKYND® for the treatment of adult patients with non-transfusion dependent and transfusion-dependent alpha- or beta-thalassemia. In October 2025, we announced that the Committee for Medicinal Products for Human Use, or the CHMP, of the EMA adopted a positive opinion for the new indication for PYRUKYND® in adults for the treatment of anemia associated with transfusion-dependent and non-transfusion-dependent alpha- or beta-thalassemia. The European Commission is reviewing the CHMP’s opinion, with the final decision expected in the first half of 2026.</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2026, we presented data from the phase 2 and phase 3 portions of the RISE UP study of PYRUKYND® in adults with sickle cell disease, or SCD, in a pre-supplemental New Drug Application meeting with the FDA. Based on the FDA’s recommendation, we submitted our proposal to the FDA for a confirmatory clinical trial to support U.S. accelerated approval of mitapivat in SCD. The proposal incorporates a primary endpoint that is different from the endpoints in the RISE UP studies and is informed by both analyses of RISE UP data and discussions with the FDA. We intend to submit a supplemental New Drug Application, or sNDA, for mitapivat for SCD in the second quarter of 2026.</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evaluating mitapivat for the treatment of pediatric patients with PK deficiency. We are also developing (i) tebapivat, a novel PK activator, for the potential treatment of lower-risk myelodysplastic syndromes, or LR MDS, and SCD; (ii) AG-181, our phenylalanine hydroxylase, or PAH, stabilizer for the potential treatment of phenylketonuria, or PKU; and (iii) AG-236, an siRNA in-licensed from Alnylam Pharmaceuticals, Inc., or Alnylam, targeting the transmembrane serine protease 6, or TMPRSS6, gene for the potential treatment of polycythemia vera, or PV.</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risks common to companies in our industry including, but not limited to, uncertainties relating to conducting preclinical and clinical research and development, the manufacture and supply of products for clinical and commercial use, obtaining and maintaining regulatory approvals and pricing and reimbursement for our products, market acceptance, managing global growth and operating expenses, availability of additional capital, competition, obtaining and enforcing patents, stock price volatility, dependence on collaborative relationships and third-party service providers, dependence on key personnel, potential litigation, potential product liability claims and potential government investigations.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Oncology Business to Servier and Sale of Contingent Payments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2021, we completed the sale of our oncology business to Servier Pharmaceuticals, LLC, or Servier. The transaction included the sale of our entire oncology business, including our clinical-stage product candidate vorasidenib, and included a royalty of 15% of U.S. net sales of vorasidenib from the first commercial sale of vorasidenib through loss of exclusivity, or the Vorasidenib Royalty Rights. The Vorasidenib Royalty Rights are referred to as contingent payments and recognized as income when realizable.</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May 2024, we entered into a purchase and sale agreement to sell the Vorasidenib Royalty Rights to Royalty Pharma Investments 2019 ICAV, or Royalty Pharma. The sale was contingent upon FDA approval of vorasidenib and other customary closing conditions.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consummation of the sale in August 2024, Royalty Pharma acquired 100% of the Vorasidenib Royalty Rights payments made by Servier on account of up to $1.0 billion in U.S. net sales for each calendar year. In addition, any such Vorasidenib Royalty Rights payments made by Servier on account of U.S. net sales in each calendar year in excess of $1.0 billion will be split, with Royalty Pharma having the rights to a 12% earn-out on those excess payments and Agios retaining the rights to a 3% earn-out on those excess payments, or the Retained Earn-Out Rights. Royalty income related to the Retained Earn-Out Rights, if any, will be recognized in the period when realizable.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condensed consolidated balance sheet as of March 31, 2026, the condensed consolidated statements of operations, comprehensive loss and stockholders' equity for the three months ended March 31, 2026 and 2025, and the condensed consolidated statements of cash flows for the three months ended March 31, 2026 and 2025 are unaudited. The unaudited condensed consolidated financial statements have been prepared on the same basis as the annual financial statements and, in the opinion of our management, reflect all adjustments, which include only normal recurring adjustments, necessary to fairly state our financial position as of March 31, 2026, our results of operations and stockholders' equity for the three months ended March 31, 2026 and 2025, and cash flows for the three months ended March 31, 2026 and 2025. The financial data and other financial information disclosed in these notes to the condensed consolidated financial statements related to the three-month periods are also unaudited. The results of operations for the three months ended March 31, 2026 are not necessarily indicative of the results to be expected for the year ending December 31, 2026 or for any other future annual or interim period. The condensed consolidated balance sheet data as of December 31, 2025 was derived from our audited financial statements, but does not include all disclosures required by U.S. generally accepted accounting principles, or U.S. GAAP. The condensed consolidated interim financial statements should be read in conjunction with the audited consolidated financial statements and notes thereto included in our Annual Report on Form 10-K for the year ended December 31, 2025 that was filed with the Securities and Exchange Commission, or SEC, on February 12, 2026.</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condensed consolidated financial statements include our accounts and the accounts of our wholly owned subsidiaries. All intercompany transactions have been eliminated in consolidation. The condensed consolidated financial statements have been prepared in conformity with U.S. GAAP.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judgments and assumptions that may affect the reported amounts of assets, liabilities, equity, revenues and expenses and related disclosure of contingent assets and liabilities. On an ongoing basis we evaluate our estimates, judgments and methodologies. We base our estimates on historical experience and on various other assumptions that we believe are reasonable, the results of which form the basis for making judgments about the carrying values of assets, liabilities and equity and the amount of revenues and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securities of $1.0 billion. Although we have incurred recurring losses and expect to continue to incur losses for the foreseeable future, we expect our cash, cash equivalents and marketable securities to be sufficient to fund current operations for at least the next twelve months from the issuance of the financial statements. If we are unable to raise additional funds through equity or debt financings, we may be required to delay, limit, reduce or terminate product development or future commercialization efforts, or grant rights to develop and market products or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previously disclosed in our Annual Report on Form 10-K for the year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or FASB, issued Accounting Standards Update, or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around an entity’s expenses. Upon adoption, companies will be required to disclose in the notes to the financial statements a disaggregation of certain expense categories included within the expense captions on the face of the income statement. The standard is effective for annual periods beginning after December 15, 2026 and interim periods beginning after December 15, 2027, with early adoption permitted, and can be applied either prospectively or retrospectively. We plan to adopt the standard in our 2027 annual period and are currently assessing its effect on our financial statement disclosures.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2025-07 </w:t>
      </w:r>
      <w:r>
        <w:rPr>
          <w:rFonts w:ascii="Times New Roman" w:cs="Times New Roman" w:eastAsia="Times New Roman" w:hAnsi="Times New Roman"/>
          <w:sz w:val="18"/>
          <w:szCs w:val="18"/>
          <w:i w:val="1"/>
          <w:iCs w:val="1"/>
          <w:color w:val="auto"/>
        </w:rPr>
        <w:t>Derivatives Scope Refinements and Scope Clarification for Share-Based Noncash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a Customer in a Revenue Contract</w:t>
      </w:r>
      <w:r>
        <w:rPr>
          <w:rFonts w:ascii="Times New Roman" w:cs="Times New Roman" w:eastAsia="Times New Roman" w:hAnsi="Times New Roman"/>
          <w:sz w:val="18"/>
          <w:szCs w:val="18"/>
          <w:color w:val="auto"/>
        </w:rPr>
        <w:t>. The amendments provide for a new scope exception to the derivatives guidance for underlyings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or activities specific to one of the parties to the contract, and also clarifies that share-based noncash consideration received from a customer as consideration for the transfer of goods or services in a revenue contract is subject to the revenue guidance and not the financial instruments guidance unless and until the company’s right to receive or retain the share-based noncash consideration is unconditional as defined in the ASU. The amendments are effective for annual reporting periods beginning after December 15, 2026, including interim periods within those fiscal years, with early adoption permitted. We adopted the standard prospectively in the first quarter of 2026 with no material impact to our business, financial condition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record cash equivalents and marketable securities at fair value.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ind w:lef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assets and liabilities in active markets, quoted prices in markets that are not active, or inputs which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for substantially the full term of the asset or liability.</w:t>
      </w:r>
    </w:p>
    <w:p>
      <w:pPr>
        <w:spacing w:after="0" w:line="50" w:lineRule="exact"/>
        <w:rPr>
          <w:sz w:val="20"/>
          <w:szCs w:val="20"/>
          <w:color w:val="auto"/>
        </w:rPr>
      </w:pPr>
    </w:p>
    <w:p>
      <w:pPr>
        <w:ind w:lef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reflect our own assumptions about the assumptions market participants would use in pricing the asset or liability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there is little, if any, market activity for the asset or liability at the measurement date.</w:t>
      </w:r>
    </w:p>
    <w:p>
      <w:pPr>
        <w:spacing w:after="0" w:line="52"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cash equivalents and marketable securities measured at fair value and by level on a recurring basis as of March 31, 2026:</w:t>
      </w:r>
    </w:p>
    <w:tbl>
      <w:tblPr>
        <w:tblLayout w:type="fixed"/>
        <w:tblInd w:w="0" w:type="dxa"/>
        <w:tblCellMar>
          <w:top w:w="0" w:type="dxa"/>
          <w:left w:w="0" w:type="dxa"/>
          <w:bottom w:w="0" w:type="dxa"/>
          <w:right w:w="0" w:type="dxa"/>
        </w:tblCellMar>
      </w:tblP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59,402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14,594</w:t>
            </w:r>
          </w:p>
        </w:tc>
        <w:tc>
          <w:tcPr>
            <w:tcW w:w="10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73,996</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30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59,402</w:t>
            </w:r>
          </w:p>
        </w:tc>
        <w:tc>
          <w:tcPr>
            <w:tcW w:w="3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14,594</w:t>
            </w:r>
          </w:p>
        </w:tc>
        <w:tc>
          <w:tcPr>
            <w:tcW w:w="106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73,996</w:t>
            </w:r>
          </w:p>
        </w:tc>
      </w:tr>
      <w:tr>
        <w:trPr>
          <w:trHeight w:val="270"/>
        </w:trPr>
        <w:tc>
          <w:tcPr>
            <w:tcW w:w="45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751</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130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268,649</w:t>
            </w:r>
          </w:p>
        </w:tc>
        <w:tc>
          <w:tcPr>
            <w:tcW w:w="106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268,649</w:t>
            </w:r>
          </w:p>
        </w:tc>
      </w:tr>
      <w:tr>
        <w:trPr>
          <w:trHeight w:val="229"/>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151,530</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151,530</w:t>
            </w:r>
          </w:p>
        </w:tc>
      </w:tr>
      <w:tr>
        <w:trPr>
          <w:trHeight w:val="230"/>
        </w:trPr>
        <w:tc>
          <w:tcPr>
            <w:tcW w:w="4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510,962</w:t>
            </w: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510,962</w:t>
            </w:r>
          </w:p>
        </w:tc>
      </w:tr>
      <w:tr>
        <w:trPr>
          <w:trHeight w:val="223"/>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931,892</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931,892</w:t>
            </w:r>
          </w:p>
        </w:tc>
      </w:tr>
      <w:tr>
        <w:trPr>
          <w:trHeight w:val="23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59,402</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946,486</w:t>
            </w:r>
          </w:p>
        </w:tc>
        <w:tc>
          <w:tcPr>
            <w:tcW w:w="10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1,005,888</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equivalents and marketable securities have been initially valued at the transaction price and are subsequently valued, at the end of each reporting period, utilizing third-party pricing services or other observable market data. The pricing services utilize industry standard valuation models, including both income and market-based approaches, and observable market inputs to determine value. After completing our validation procedures, we did not adjust or override any fair value measurements provided by the pricing services as of March 31, 2026.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valuation methods during the three months ended March 31, 2026, and we had no financial assets or liabilities that were classified as Level 3 at any point during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marketable securities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xml:space="preserve">, and are recorded at fair value. Unrealized gains and losses are included as a component of accumulated other comprehensive (loss) income in the condensed consolidated balance sheets and statements of stockholders’ equity, and a component of total comprehensive loss in the condensed consolidated statements of comprehensive loss, until realized. Unrealized losses are evaluated for impairment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to determine if the impairment is credit-related or noncredit-related. Credit-related impairment is recognized as an allowance on the condensed consolidated balance sheets with a corresponding adjustment to earnings, and noncredit-related impairment is recognized in other comprehensive income, net of taxes. Realized gains and losses are included in investment income on a specific-identification basis. There were no material realized gains or losses on marketable securities for the three months ended March 31, 2026 or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at March 31, 2026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Pr>
          <w:p>
            <w:pPr>
              <w:spacing w:after="0"/>
              <w:rPr>
                <w:sz w:val="13"/>
                <w:szCs w:val="13"/>
                <w:color w:val="auto"/>
              </w:rPr>
            </w:pPr>
          </w:p>
        </w:tc>
        <w:tc>
          <w:tcPr>
            <w:tcW w:w="11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3"/>
                <w:szCs w:val="13"/>
                <w:color w:val="auto"/>
              </w:rPr>
            </w:pPr>
          </w:p>
        </w:tc>
        <w:tc>
          <w:tcPr>
            <w:tcW w:w="11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11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3"/>
                <w:szCs w:val="13"/>
                <w:color w:val="auto"/>
              </w:rPr>
            </w:pPr>
          </w:p>
        </w:tc>
        <w:tc>
          <w:tcPr>
            <w:tcW w:w="10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3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133,836</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134,088</w:t>
            </w: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42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92,178</w:t>
            </w:r>
          </w:p>
        </w:tc>
        <w:tc>
          <w:tcPr>
            <w:tcW w:w="30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92,186</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396,408</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396,413</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42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623,172</w:t>
            </w:r>
          </w:p>
        </w:tc>
        <w:tc>
          <w:tcPr>
            <w:tcW w:w="30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623,438</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134,797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134,561</w:t>
            </w: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42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59,414</w:t>
            </w:r>
          </w:p>
        </w:tc>
        <w:tc>
          <w:tcPr>
            <w:tcW w:w="30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59,344</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114,823</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114,549</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non-current</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309,034</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308,454</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932,206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931,892</w:t>
            </w:r>
          </w:p>
        </w:tc>
        <w:tc>
          <w:tcPr>
            <w:tcW w:w="0" w:type="dxa"/>
            <w:vAlign w:val="bottom"/>
          </w:tcPr>
          <w:p>
            <w:pPr>
              <w:spacing w:after="0"/>
              <w:rPr>
                <w:sz w:val="1"/>
                <w:szCs w:val="1"/>
                <w:color w:val="auto"/>
              </w:rPr>
            </w:pPr>
          </w:p>
        </w:tc>
      </w:tr>
      <w:tr>
        <w:trPr>
          <w:trHeight w:val="41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at December 31, 2025 consisted of the following:</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Pr>
          <w:p>
            <w:pPr>
              <w:spacing w:after="0"/>
              <w:rPr>
                <w:sz w:val="23"/>
                <w:szCs w:val="23"/>
                <w:color w:val="auto"/>
              </w:rPr>
            </w:pPr>
          </w:p>
        </w:tc>
        <w:tc>
          <w:tcPr>
            <w:tcW w:w="11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23"/>
                <w:szCs w:val="23"/>
                <w:color w:val="auto"/>
              </w:rPr>
            </w:pPr>
          </w:p>
        </w:tc>
        <w:tc>
          <w:tcPr>
            <w:tcW w:w="11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23"/>
                <w:szCs w:val="23"/>
                <w:color w:val="auto"/>
              </w:rPr>
            </w:pPr>
          </w:p>
        </w:tc>
        <w:tc>
          <w:tcPr>
            <w:tcW w:w="11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23"/>
                <w:szCs w:val="23"/>
                <w:color w:val="auto"/>
              </w:rPr>
            </w:pPr>
          </w:p>
        </w:tc>
        <w:tc>
          <w:tcPr>
            <w:tcW w:w="10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165,365</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165,828</w:t>
            </w: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42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110,182</w:t>
            </w:r>
          </w:p>
        </w:tc>
        <w:tc>
          <w:tcPr>
            <w:tcW w:w="30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110,268</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487,786</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673</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488,448</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42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764,083</w:t>
            </w:r>
          </w:p>
        </w:tc>
        <w:tc>
          <w:tcPr>
            <w:tcW w:w="30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1,229</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765,295</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129,738</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130,385</w:t>
            </w: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42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54,527</w:t>
            </w:r>
          </w:p>
        </w:tc>
        <w:tc>
          <w:tcPr>
            <w:tcW w:w="30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54,548</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124,767</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125,080</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non-current</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309,032</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1,025</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310,013</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1,073,115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1,075,308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we held both current and non-current investments. Investments classified as current have maturities of less than one year. Investments classified as non-current are those that: (i) have a maturity of greater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than one year, and (ii) we do not intend to liquidate within the next twelve months, although these funds are available for use and, therefore, are classified as available-for-sale.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we held 112 and 37 debt securities, respectively, that were in an unrealized loss position for less than one year. We did not record an allowance for credit losses as of March 31, 2026 and December 31, 2025 related to these securities. The aggregate fair value of debt securities in an unrealized loss position at March 31, 2026 and December 31, 2025 was $461.4 million and $136.2 million, respectively. There were no individual securities that were in a significant unrealized loss position as of March 31, 2026 and December 31, 2025. We regularly review the securities in an unrealized loss position and evaluate the current expected credit loss by considering factors such as historical experience, market data, issuer-specific factors, and current economic conditions. We do not consider these marketable securities to be impaired as of March 31, 2026 and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which consists of commercial supply of PYRUKYND® and AQVESME™,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780" w:type="dxa"/>
            <w:vAlign w:val="bottom"/>
          </w:tcPr>
          <w:p>
            <w:pPr>
              <w:spacing w:after="0"/>
              <w:rPr>
                <w:sz w:val="13"/>
                <w:szCs w:val="13"/>
                <w:color w:val="auto"/>
              </w:rPr>
            </w:pPr>
          </w:p>
        </w:tc>
        <w:tc>
          <w:tcPr>
            <w:tcW w:w="12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2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760" w:type="dxa"/>
            <w:vAlign w:val="bottom"/>
            <w:tcBorders>
              <w:bottom w:val="single" w:sz="8" w:color="auto"/>
            </w:tcBorders>
            <w:vMerge w:val="continue"/>
          </w:tcPr>
          <w:p>
            <w:pPr>
              <w:spacing w:after="0"/>
              <w:rPr>
                <w:sz w:val="16"/>
                <w:szCs w:val="16"/>
                <w:color w:val="auto"/>
              </w:rPr>
            </w:pPr>
          </w:p>
        </w:tc>
        <w:tc>
          <w:tcPr>
            <w:tcW w:w="37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78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31,082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7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3,916</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35,087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building leases are comprised of office and laboratory space under non-cancelable operating leases. These lease agreements have remaining lease terms of approximately two years and contain various clauses for renewal at our option. The renewal options were not included in the calculation of the operating lease assets and the operating lease liabilities as the renewal options are not reasonably certain of being exercised. The lease agreements do not contain residual value guarantees.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and other information related to leases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3"/>
                <w:szCs w:val="13"/>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96"/>
        </w:trPr>
        <w:tc>
          <w:tcPr>
            <w:tcW w:w="9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31,</w:t>
            </w:r>
          </w:p>
        </w:tc>
        <w:tc>
          <w:tcPr>
            <w:tcW w:w="700" w:type="dxa"/>
            <w:vAlign w:val="bottom"/>
            <w:tcBorders>
              <w:bottom w:val="single" w:sz="8" w:color="auto"/>
            </w:tcBorders>
          </w:tcPr>
          <w:p>
            <w:pPr>
              <w:spacing w:after="0"/>
              <w:rPr>
                <w:sz w:val="17"/>
                <w:szCs w:val="17"/>
                <w:color w:val="auto"/>
              </w:rPr>
            </w:pPr>
          </w:p>
        </w:tc>
      </w:tr>
      <w:tr>
        <w:trPr>
          <w:trHeight w:val="196"/>
        </w:trPr>
        <w:tc>
          <w:tcPr>
            <w:tcW w:w="9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30"/>
        </w:trPr>
        <w:tc>
          <w:tcPr>
            <w:tcW w:w="9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material short-term leases or financing leases as of March 31, 2026.</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arriving at the operating lease liabilities as of March 31, 2026 and December 31, 2025, we applied the weighted-average incremental borrowing rate of 5.7% for both periods over a weighted-average remaining lease term of 1.9 and 2.2 years,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undiscounted minimum rental commitments under non-cancelable leases were as follows:</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2026</w:t>
            </w:r>
          </w:p>
        </w:tc>
        <w:tc>
          <w:tcPr>
            <w:tcW w:w="376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20,755</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7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r>
      <w:tr>
        <w:trPr>
          <w:trHeight w:val="229"/>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minimum rental commitments</w:t>
            </w:r>
          </w:p>
        </w:tc>
        <w:tc>
          <w:tcPr>
            <w:tcW w:w="37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w:t>
            </w:r>
          </w:p>
        </w:tc>
      </w:tr>
      <w:tr>
        <w:trPr>
          <w:trHeight w:val="230"/>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30"/>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35,745</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provided our landlord a security deposit of $2.9 million as security for our leases, which is included within other non-current assets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2022, we entered into a long-term sublease agreement for 27,000 square feet of the office space at 64 Sidney Street, Cambridge, Massachusetts, which expired on April 30,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we entered into a long-term sublease agreement for 7,407 square feet of office space on the first floor of 64 Sidney Street, Cambridge, Massachusetts, which expired on July 31, 2025. In July 2025, we entered into a long-term sublease agreement with a new tenant for the same space, which began in November 2025 with the term of the lease running through February 2028.</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operating sublease income of $0.1 million and $1.3 million for the three months ended March 31, 2026 and 2025, respectively, in other income, net in the condensed consolidated statements of operations. We hold security deposits from our sublessee of approximately $0.1 million which is recorded within other non-current assets on our condensed consolidated balance sheet.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future minimum lease payments to be received under the long-term sublease agreements were as follows: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2026</w:t>
            </w:r>
          </w:p>
        </w:tc>
        <w:tc>
          <w:tcPr>
            <w:tcW w:w="48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9"/>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900" w:type="dxa"/>
            <w:vAlign w:val="bottom"/>
          </w:tcPr>
          <w:p>
            <w:pPr>
              <w:spacing w:after="0"/>
              <w:rPr>
                <w:sz w:val="13"/>
                <w:szCs w:val="13"/>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2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auto"/>
            </w:tcBorders>
            <w:vMerge w:val="continue"/>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11,685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27,264</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90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8,519</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2,771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9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3,318</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26,293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45,459</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Product Revenue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product revenue from sales of PYRUKYND® and AQVESME™ in the United States to a limited number of specialty distributors and specialty pharmacy providers, and from sales of PYRUKYND® to Avanzanite and NewBridge outside of the United States, or collectively, the Customers. These Customers subsequently resell PYRUKYND® and AQVESME™ to pharmacies or dispense PYRUKYND® and AQVESME™ directly to patients. In addition to distribution agreements with Customers, we enter into arrangements with healthcare providers and payors that provide for government-mandated and/or privately-negotiated rebates, chargebacks and discounts with respect to the purchase of PYRUKYND® and AQVESME™.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performance obligation related to the sale of PYRUKYND® and AQVESME™ is satisfied and revenue is recognized when the Customer obtains control of the product, which occurs at a point in time, typically upon delivery to the Customer.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net,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18,851</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1,895</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20,746</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 for Variable Consideration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transaction price, which includes estimates of variable consideration for which reserves are established and result from contractual adjustments, government rebates, returns and other allowances that are offered within the contracts with our Customers, healthcare providers, payors and other indirect customers relating to the sale of our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Adjustments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provide Customers with discounts, including prompt pay discounts, and allowances that are explicitly stated in the contracts and are recorded as a reduction of revenue in the period the related product revenue is recognized. In addition, we receive sales order management, data and distribution services from certain Customers.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Chargebacks and discounts represent the estimated obligations resulting from contractual commitments to sell products to qualified healthcare providers at prices lower than the list prices charged to Customers who directly purchase the product from us. Customers charge us for the difference between what they pay for the product and the ultimate selling price to the qualified healthcare providers. These reserves are estimated using the expected value method, based upon a range of possible outcomes that are probability-weighted for the estimated channel mix and are established in the same period that the related revenue is recognized, resulting in a reduction of product revenue.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Rebates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 rebates include Medicare, TriCare, and Medicaid rebates, which we estimate using the expected value method, based upon a range of possible outcomes that are probability-weighted for the estimated payor mix. These reserves are recorded in the same period the related revenue is recognized, resulting in a reduction of product revenue. For Medicare, we also estimate the number of patients for whom we will owe an additional liability under the Medicare Part D Manufacturer Discount Program.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 / Replacement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the amount of product sales that may be returned by Customers or replaced by Agios and record this estimate as a reduction of revenue in the period the related product revenue is recognized. We currently estimate product return and replacement liabilities using the expected value method, based on available industry data, including our visibility into the inventory remaining in the distribution channel.</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balances and activity in each of the product revenue allowance and reserve categories for the three months ended March 31, 2026:</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3"/>
                <w:szCs w:val="13"/>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40" w:type="dxa"/>
            <w:vAlign w:val="bottom"/>
          </w:tcPr>
          <w:p>
            <w:pPr>
              <w:spacing w:after="0"/>
              <w:rPr>
                <w:sz w:val="13"/>
                <w:szCs w:val="13"/>
                <w:color w:val="auto"/>
              </w:rPr>
            </w:pPr>
          </w:p>
        </w:tc>
        <w:tc>
          <w:tcPr>
            <w:tcW w:w="12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60" w:type="dxa"/>
            <w:vAlign w:val="bottom"/>
          </w:tcPr>
          <w:p>
            <w:pPr>
              <w:spacing w:after="0"/>
              <w:rPr>
                <w:sz w:val="13"/>
                <w:szCs w:val="13"/>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Replacement</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6"/>
              </w:rPr>
              <w:t>182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1,040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provisions relating to sales in the current year</w:t>
            </w:r>
          </w:p>
        </w:tc>
        <w:tc>
          <w:tcPr>
            <w:tcW w:w="980" w:type="dxa"/>
            <w:vAlign w:val="bottom"/>
          </w:tcPr>
          <w:p>
            <w:pPr>
              <w:spacing w:after="0"/>
              <w:rPr>
                <w:sz w:val="19"/>
                <w:szCs w:val="19"/>
                <w:color w:val="auto"/>
              </w:rPr>
            </w:pPr>
          </w:p>
        </w:tc>
        <w:tc>
          <w:tcPr>
            <w:tcW w:w="1200" w:type="dxa"/>
            <w:vAlign w:val="bottom"/>
          </w:tcPr>
          <w:p>
            <w:pPr>
              <w:jc w:val="center"/>
              <w:ind w:left="575"/>
              <w:spacing w:after="0"/>
              <w:rPr>
                <w:sz w:val="20"/>
                <w:szCs w:val="20"/>
                <w:color w:val="auto"/>
              </w:rPr>
            </w:pPr>
            <w:r>
              <w:rPr>
                <w:rFonts w:ascii="Times New Roman" w:cs="Times New Roman" w:eastAsia="Times New Roman" w:hAnsi="Times New Roman"/>
                <w:sz w:val="18"/>
                <w:szCs w:val="18"/>
                <w:color w:val="auto"/>
                <w:w w:val="96"/>
              </w:rPr>
              <w:t>759</w:t>
            </w:r>
          </w:p>
        </w:tc>
        <w:tc>
          <w:tcPr>
            <w:tcW w:w="2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1,216</w:t>
            </w:r>
          </w:p>
        </w:tc>
        <w:tc>
          <w:tcPr>
            <w:tcW w:w="2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Payments/returns relating to sales in the current year</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7"/>
              </w:rPr>
              <w:t>(311)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Payments/returns relating to sales in the prior years</w:t>
            </w:r>
          </w:p>
        </w:tc>
        <w:tc>
          <w:tcPr>
            <w:tcW w:w="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55"/>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6"/>
              </w:rPr>
              <w:t>464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1,234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revenue-related reserves above, included in our condensed consolidated balance sheets,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100" w:type="dxa"/>
            <w:vAlign w:val="bottom"/>
          </w:tcPr>
          <w:p>
            <w:pPr>
              <w:spacing w:after="0"/>
              <w:rPr>
                <w:sz w:val="16"/>
                <w:szCs w:val="16"/>
                <w:color w:val="auto"/>
              </w:rPr>
            </w:pPr>
          </w:p>
        </w:tc>
        <w:tc>
          <w:tcPr>
            <w:tcW w:w="14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39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accounts receivable</w:t>
            </w:r>
          </w:p>
        </w:tc>
        <w:tc>
          <w:tcPr>
            <w:tcW w:w="4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Component of accrued expenses</w:t>
            </w:r>
          </w:p>
        </w:tc>
        <w:tc>
          <w:tcPr>
            <w:tcW w:w="4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3,147</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30"/>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4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3,355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r>
      <w:tr>
        <w:trPr>
          <w:trHeight w:val="999"/>
        </w:trPr>
        <w:tc>
          <w:tcPr>
            <w:tcW w:w="3980" w:type="dxa"/>
            <w:vAlign w:val="bottom"/>
          </w:tcPr>
          <w:p>
            <w:pPr>
              <w:spacing w:after="0"/>
              <w:rPr>
                <w:sz w:val="24"/>
                <w:szCs w:val="24"/>
                <w:color w:val="auto"/>
              </w:rPr>
            </w:pPr>
          </w:p>
        </w:tc>
        <w:tc>
          <w:tcPr>
            <w:tcW w:w="410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our contract assets during the three months ended March 31,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0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Pr>
          <w:p>
            <w:pPr>
              <w:spacing w:after="0"/>
              <w:rPr>
                <w:sz w:val="16"/>
                <w:szCs w:val="16"/>
                <w:color w:val="auto"/>
              </w:rPr>
            </w:pPr>
          </w:p>
        </w:tc>
        <w:tc>
          <w:tcPr>
            <w:tcW w:w="13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80" w:type="dxa"/>
            <w:vAlign w:val="bottom"/>
          </w:tcPr>
          <w:p>
            <w:pPr>
              <w:spacing w:after="0"/>
              <w:rPr>
                <w:sz w:val="16"/>
                <w:szCs w:val="16"/>
                <w:color w:val="auto"/>
              </w:rPr>
            </w:pPr>
          </w:p>
        </w:tc>
        <w:tc>
          <w:tcPr>
            <w:tcW w:w="13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0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3"/>
        </w:trPr>
        <w:tc>
          <w:tcPr>
            <w:tcW w:w="3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3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Contract assets</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3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10,577</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22,943</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(17,388)</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Additions to contract assets relate to amounts billed to Customers for product sales and deductions to contract assets primarily relate to collection of receivables during the reporting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Stock Incentive Plan and Inducement Grants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our stockholders approved the 2023 Stock Incentive Plan, or the 2023 Plan. The 2023 Plan provides for the grant of incentive stock options, nonstatutory stock options, stock appreciation rights, restricted stock awards, restricted stock units, or RSUs, performance-based share units, or PSUs, and other stock-based awards to employees, advisors, consultants and non-employee directors.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adoption of the 2023 Plan, we ceased granting equity awards under the 2013 Stock Incentive Plan, or the 2013 Plan. Any outstanding equity awards that were previously granted under the 2013 Plan continue to be governed by their terms. Following adoption of the 2013 Plan, we ceased granting equity awards under the 2007 Stock Incentive Plan, or the 2007 Plan. There are no outstanding equity awards under the 2007 Plan.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start of employment of our Chief Executive Officer and Chief Financial Officer in 2022, our Chief Commercial Officer in 2023, and our Chief Corporate Development and Strategy Officer in March 2025, our Board of Directors granted each of them equity awards in the form of stock options, RSUs and PSUs, which awards were made outside our equity incentive plans as inducements material to their respective entry into employment with us in accordance with Nasdaq Listing Rule 5635(c)(4).</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maximum number of shares reserved under the 2013 Plan, the 2023 Plan and the inducement grants described above was 11,498,895, and we had 1,977,151 shares available for future issuance under the 2023 Plan.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 option activity for the three months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7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5"/>
        </w:trPr>
        <w:tc>
          <w:tcPr>
            <w:tcW w:w="77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2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6,113,063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717,227</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Cancelled/Forfeited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(79,554)</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r>
      <w:tr>
        <w:trPr>
          <w:trHeight w:val="230"/>
        </w:trPr>
        <w:tc>
          <w:tcPr>
            <w:tcW w:w="7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(90,190)</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23"/>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6,646,266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23"/>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4,515,842</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30"/>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6,646,266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there was approximately $34.5 million of total unrecognized compensation expense related to unvested stock option awards, which we expect to recognize over a weighted-average period of approximately 2.85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RSU activity for the three months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39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4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3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558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2025</w:t>
            </w:r>
          </w:p>
        </w:tc>
        <w:tc>
          <w:tcPr>
            <w:tcW w:w="3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2,007,463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3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1,201,092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3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(819,824)</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3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(105,231)</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March 31, 2026</w:t>
            </w:r>
          </w:p>
        </w:tc>
        <w:tc>
          <w:tcPr>
            <w:tcW w:w="3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2,283,500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there was approximately $63.5 million of total unrecognized compensation expense related to RSUs, which we expect to recognize over a weighted-average period of approximately 2.23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units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PSU activity for the three months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94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4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3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center"/>
              <w:ind w:right="119"/>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55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2025</w:t>
            </w:r>
          </w:p>
        </w:tc>
        <w:tc>
          <w:tcPr>
            <w:tcW w:w="3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376,978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3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83,500</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March 31, 2026</w:t>
            </w:r>
          </w:p>
        </w:tc>
        <w:tc>
          <w:tcPr>
            <w:tcW w:w="39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460,478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unvested shares were 103,128 shares with performance-based vesting criteria that were considered probable of achievement at March 31, 2026 and vested in April 2026. Stock-based compensation expense associated with performance-based PSUs is recognized if the underlying performance condition is considered probable of achievement using our management’s best estimates.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there was no unrecognized compensation expense related to PSUs with performance-based vesting criteria that are considered probable of achievement, and $11.4 million of total unrecognized compensation expense related to PSUs with performance-based vesting criteria that are considered not probable of achievement.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Market-based stock units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issued certain equity awards that contain market based vesting conditions, in which shares of stock are earned at vesting based on total shareholder return compared to an industry stock index. The fair value of market-based stock units, or MSUs, is estimated using a Monte Carlo simulation model. Assumptions and estimates utilized in the model include the risk-free interest rate, dividend yield, expected stock volatility and the service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MSU activity for the three months ended March 31,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94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4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3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2025</w:t>
            </w:r>
          </w:p>
        </w:tc>
        <w:tc>
          <w:tcPr>
            <w:tcW w:w="3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3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131,500</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March 31, 2026</w:t>
            </w:r>
          </w:p>
        </w:tc>
        <w:tc>
          <w:tcPr>
            <w:tcW w:w="39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131,500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was $6.3 million of unrecognized compensation expense related to MSUs with market-based vesting criteria, which we expect to recognize over a weighted-average period of approximately 2.75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2013 Employee Stock Purchase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2013, our Board of Directors adopted, and in July 2013 our stockholders approved, the 2013 ESPP, which was further amended and restated by our Board of Directors in December 2024. We issued and sold 65,809 and 52,092 shares of common stock during the three months ended March 31, 2026 and 2025, respectively, under the 2013 ESPP. The 2013 ESPP provides participating employees with the opportunity to purchase up to an aggregate of 2,363,636 shares of our common stock. As of March 31, 2026, we had 1,384,142 shares of common stock available for future issuance under the 2013 ESPP.</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condensed consolidated statements of operations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4,501</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7,198</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stock units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3,268</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Market-based stock units</w:t>
            </w: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194</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380</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15,541</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related to stock options and stock-based awards were allocated as follows in the condensed consolidated statements of operations: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shares outstanding during the period, without consideration for common stock equivalents. Diluted net loss per share is calculated by adjusting the weighted-average shares outstanding for the dilutive effect of common stock equivalents outstanding for the period, determined using the treasury stock method. For purposes of the dilutive net loss per share calculation, stock options, RSUs and PSUs for which the performance and market vesting conditions, respectively, have been deemed probable, and 2013 ESPP shares are considered to be common stock equivalents, while PSUs with performance and market vesting conditions, respectively, that were not deemed probable as of March 31, 2026 are not considered to be common stock equivalents.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the control number concept in the computation of diluted earnings per share to determine whether potential common stock equivalents are dilutive. The control number used is net 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Since we had a net loss for all period presented, no dilutive effect was recognized in the calculation of loss per share and basic and diluted net loss per share was the same for those periods.</w:t>
      </w:r>
    </w:p>
    <w:p>
      <w:pPr>
        <w:spacing w:after="0" w:line="62"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applicable to common stockholders for the periods indicated because including them would have had an anti-dilutive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6,646,266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6,378,183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2,283,500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2,171,527</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stock units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103,128</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9,032,894</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8,549,710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or CODM, or decision-making group in making decisions on how to allocate resources and assess performance. Our CODM is our CEO. Our CEO views our operations and manages our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as one operating segment, which derives its revenues from the development and commercialization of therapies for patients with rare diseases.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CEO manages and allocates resources to the operations of our company on a total company basis by assessing the overall level of resources available and how to best deploy these resources across functions and research and development projects that are in line with our long-term company-wide strategic goals. In making these decisions, our CEO uses consolidated financial information for purposes of evaluating performance, forecasting future period financial results, allocating resources and setting incentive targets. The CODM performs this assessment based on our consolidated net (loss) income. Through this analysis, the CODM assesses performance by comparing actual consolidated net (loss) income versus the budget, and then decides how to allocate resources to invest in our research and development programs. The measure of segment assets is reported on the condensed consolidated balance sheets as total assets.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additional information on our consolidated revenue and net loss, including significant segment expenses: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 - U.S.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18,851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 net - Rest of world</w:t>
            </w:r>
          </w:p>
        </w:tc>
        <w:tc>
          <w:tcPr>
            <w:tcW w:w="32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1,895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PK activator (PYRUKYND®/AQVESME™) direct expenses - research and development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related expenses - research and development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(36,789)</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segment items primarily include cost of sales, other research and development expenses, and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68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Information</w:t>
      </w: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unaudited condensed consolidated financial statements as of March 31, 2026 and for the three months ended March 31, 2026 and 2025, and related notes included in Part I, Item 1 of this Quarterly Report on Form 10-Q, as well as the audited consolidated financial statements and notes and Management’s Discussion and Analysis of Financial Condition and Results of Operations, included in our Annual Report on Form 10-K for the year ended December 31, 2025 filed with the SEC on February 12, 2026. This Management’s Discussion and Analysis of Financial Condition and Results of Operations contains forward-looking statements within the meaning of the Private Securities Litigation Reform Act of 1995. These forward-looking statements are based on current expectations, estimates, forecasts and projections, and the beliefs and assumptions of our management, and include, without limitation, statements with respect to our expectations regarding our research, development and commercialization plans and prospects, results of operations, selling, general and administrative expenses, research and development expenses, and the sufficiency of our cash for future operations. Words such as “aim,” “anticipate,” “believe,” “continue,” “could,” “estimate,” “expect,” “goal,” “intend,” “may,” “might,” “plan,” “potential,” “predict,” “project,” “should,” “strategy,” “target,” “vision,” “will,” “would” or the negatives of these words and similar expressions are intended to identify these forward-looking statements, although not all forward-looking statements contain these identifying words. Readers are cautioned that these forward-looking statements are predictions and are subject to risks, uncertainties and assumptions that are difficult to predict. Therefore, actual results may differ materially and adversely from those expressed in any forward-looking statements. Among the important factors that could cause actual results to differ materially from those indicated by our forward-looking statements are those discussed under the heading “Risk Factors” in Part II, Item 1A and elsewhere in this report, and in our Annual Report on Form 10-K for the year ended December 31, 2025. We undertake no obligation to revise the forward-looking statements contained herein to reflect events or circumstances after the date hereof or to reflect the occurrence of unanticipated events,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commercial-stage biopharmaceutical company dedicated to redefining the future of rare disease treatment. Fueled by connections, we build trusted partnerships with communities, collaborating to develop and deliver innovative medicines that have the potential to transform lives. With a foundation in hematology, we combine biological expertise with real-world insights to advance a growing pipeline of rare disease medicines that reflect the priorities of the people we serve.</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lead product candidate in our portfolio, mitapivat, is an activator of both wild-type and mutant pyruvate kinase, or PK, enzymes for the potential treatment of hemolytic anemias. Mitapivat is approved in the United States by the U.S. Food and Drug Administration, or FDA, under the brand name AQVESME™ for the treatment of anemia in adults with non-transfusion dependent and transfusion-dependent alpha- or beta-thalassemia and in Saudi Arabia and the United Arab Emirates under the brand name PYRUKYND® for the treatment of adult patients with non-transfusion-dependent and transfusion-dependent alpha- or beta-thalassemia. Mitapivat is also approved under the brand name PYRUKYND® in the United States by the FDA for the treatment of hemolytic anemia in adults with PK deficiency and in the European Union, or EU, and Great Britain for the treatment of PK deficiency in adults.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we announced that we submitted a marketing authorization application, or MAA, to the European Medicines Agency, or EMA for PYRUKYND® for the treatment of adult patients with non-transfusion dependent and transfusion-dependent alpha- or beta-thalassemia. In October 2025, we announced that the Committee for Medicinal Products for Human Use, or the CHMP, of the EMA adopted a positive opinion for the new indication for PYRUKYND® in adults for the treatment of anemia associated with transfusion-dependent and non-transfusion-dependent alpha- or beta-thalassemia. The European Commission is reviewing the CHMP’s opinion, with the final decision expected in the first half of 2026.</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2026, we presented data from the phase 2 and phase 3 portions of the RISE UP study of PYRUKYND® in adults with sickle cell disease, or SCD, in a pre-supplemental New Drug Application meeting with the FDA. Based on the FDA’s recommendation, we submitted our proposal to the FDA for a confirmatory clinical trial to support U.S. accelerated approval of mitapivat in SCD. The proposal incorporates a primary endpoint that is different from the endpoints in the RISE UP studies and is informed by both analyses of RISE UP data and discussions with the FDA. We intend to submit a supplemental New Drug Application, or sNDA, for mitapivat for SCD in the second quarter of 2026.</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evaluating mitapivat for the treatment of pediatric patients with PK deficiency. We are also developing (i) tebapivat, a novel PK activator, for the potential treatment of lower-risk myelodysplastic syndromes, or LR MDS, and SCD; (ii) AG-181, our phenylalanine hydroxylase, or PAH, stabilizer for the potential treatment of phenylketonuria, or PKU; and (iii) AG-236, an siRNA in-licensed from Alnylam Pharmaceuticals, Inc., or Alnylam, targeting the transmembrane serine protease 6, or TMPRSS6, gene for the potential treatment of polycythemia vera, or PV.</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Oncology Business to Servier Pharmaceuticals, LLC (Servier) and Sale of Contingent Payments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2021, we completed the sale of our oncology business to Servier Pharmaceuticals, LLC, or Servier. The transaction included the sale of our entire oncology business, including our clinical-stage product candidate vorasidenib, and included a royalty of 15% of U.S. net sales of vorasidenib from the first commercial sale of vorasidenib through loss of exclusivity, or the Vorasidenib Royalty Rights. The Vorasidenib Royalty Rights are referred to as contingent payments and recognized as income when realizable.</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May 2024, we entered into a purchase and sale agreement to sell the Vorasidenib Royalty Rights to Royalty Pharma Investments 2019 ICAV, or Royalty Pharma. The sale was contingent upon FDA approval of vorasidenib and other customary closing conditions.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consummation of the sale in August 2024, Royalty Pharma acquired 100% of the Vorasidenib Royalty Rights payments made by Servier on account of up to $1.0 billion in U.S. net sales for each calendar year. In addition, any such Vorasidenib Royalty Rights payments made by Servier on account of U.S. net sales in each calendar year in excess of $1.0 billion will be split, with Royalty Pharma having the rights to a 12% earn-out on those excess payments and Agios retaining the rights to a 3% earn-out on those excess payments, or the Retained Earn-Out Rights. Royalty income related to the Retained Earn-Out Rights, if any, will be recognized in the period when realizable.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inception, our operations have primarily focused on organizing and staffing our company, business planning, raising capital, assembling our core capabilities in cellular metabolism and classical hematology, identifying potential product candidates, undertaking preclinical studies, conducting clinical trials, establishing a commercial infrastructure, preparing for and executing on the commercial launches of PYRUKYND® and AQVESME™ and, prior to the sale of our oncology business to Servier in March 2021, marketing TIBSOVO® and IDHIFA®. Through March 2021, we financed our operations primarily through proceeds from the sale of our royalty rights, commercial sales of TIBSOVO®, funding received from our collaboration agreements, private placements of our preferred stock, our initial public offering of our common stock and concurrent private placement of common stock to an affiliate of Celgene, and our follow-on public offerings. Following the sale of our oncology business to Servier in March 2021, we have financed and expect to continue to finance our operations primarily through cash on hand, potential royalty payments with respect to the Retained Earn-Out Rights, the actual and potential future sales of PYRUKYND® and AQVESME™ and, potentially, collaborations, strategic alliances, licensing arrangements and other nondilutive strategic transactions. In addition, we may pursue opportunistic debt offerings, and equity or equity-linked offerings.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since inception, we have historically incurred significant operating losses. Our net loss for the three months ended March 31, 2026 was $99.1 million and for the three months ended March 31, 2025 was $89.3 million. As of March 31, 2026, we had an accumulated deficit of $660.8 million. We expect to continue to incur significant expenses and net losses until such time we are able to report profitable results. We may never achieve or maintain profitability, and our net losses may fluctuate significantly from year to year. We expect that we will continue to incur significant expenses as we continue to advance and expand our commercialization activities for PYRUKYND® and AQVESME™; continue to advance clinical development and regulatory activities for mitapivat, tebapivat, AG-181 and AG-236; expand and protect our intellectual property portfolio, including by in-licensing or acquiring assets for pipeline growth; and hire additional commercial and development personnel.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wholly owned product, PYRUKYND®, received approval from the FDA on February 17, 2022, for the treatment of hemolytic anemia in adults with PK deficiency in the United States. Our wholly owned product, AQVESME™, received approval from the FDA on December 23, 2025, for the treatment of anemia in both non-transfusion-dependent and transfusion-dependent alpha- or beta-thalassemia in the United States. Upon FDA approval of PYRUKYND® and AQVESME™ in the United States, we began generating product revenue from sales of PYRUKYND® and AQVESME™, respectively. We sell PYRUKYND® and AQVESME™ in the United States to a limited number of specialty distributors and specialty pharmacy providers. These customers subsequently resell PYRUKYND® and AQVESME™ to pharmacies or dispense PYRUKYND® and AQVESME™ directly to patients. In addition to distribution agreements with these customers, we enter into arrangements with healthcare providers and payors that provide for government-mandated and/or privately-negotiated rebates, chargebacks and discounts with respect to the purchase of PYRUKYND® and AQVESME™.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2024, we entered into a distribution agreement, or the NewBridge Agreement, with NewBridge Pharmaceuticals FZ-LLC, or NewBridge, pursuant to which we granted NewBridge the right to commercialize PYRUKYND® in Bahrain, Kuwait, Oman, Qatar, Saudi Arabia, and the United Arab Emirates, also known as the Gulf Council Countries, or GCC. In June 2025, we entered into a distribution agreement, or the Avanzanite Agreement, with Avanzanite Bioscience B.V., or Avanzanite, pursuant to which we granted Avanzanite the right to commercialize PYRUKYND® in the European Economic Area, Switzerland, and the U.K. For further discussion of our revenue recognition policy, see Note 8, </w:t>
      </w:r>
      <w:r>
        <w:rPr>
          <w:rFonts w:ascii="Times New Roman" w:cs="Times New Roman" w:eastAsia="Times New Roman" w:hAnsi="Times New Roman"/>
          <w:sz w:val="18"/>
          <w:szCs w:val="18"/>
          <w:i w:val="1"/>
          <w:iCs w:val="1"/>
          <w:color w:val="auto"/>
        </w:rPr>
        <w:t>Product Revenue</w:t>
      </w:r>
      <w:r>
        <w:rPr>
          <w:rFonts w:ascii="Times New Roman" w:cs="Times New Roman" w:eastAsia="Times New Roman" w:hAnsi="Times New Roman"/>
          <w:sz w:val="18"/>
          <w:szCs w:val="18"/>
          <w:color w:val="auto"/>
        </w:rPr>
        <w:t>, to the condensed consolidated financial statements in this Quarterly Report on Form 10-Q.</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future, we expect to continue to generate revenue from product sales of PYRUKYND® and AQVESME™. We may also generate revenue from milestone payments, upfront payments or royalties on product sales under collaborations or licensing agreements that we may enter into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sales consists primarily of manufacturing costs for sales of PYRUKYND® and AQVESME™. Based on our policy to expense costs associated with the manufacturing of our products prior to regulatory approval, certain of the manufacturing costs associated with product shipments of PYRUKYND® and AQVESME™ recorded during the three months ended March 31, 2026 and 2025 were expensed prior to applicable regulatory approval, and, therefore, are not included in costs of sales during the three months ended March 31, 2026 and 2025. The amounts excluded from cost of sales were not significant during the three months ended March 31, 2026 and 2025.</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reviewed periodically to identify excess or obsolete inventory based on projected sales activity as well as product shelf-life. Expired inventory is disposed of, and the related costs are recognized as cost of sales in our consolidated statements of operations, when, based on the expiry date, we do not believe we are able to sell the inventory. We have not reserved for excess or obsolete inventory during the three months ended March 31, 2026 and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related to our portfolio to increase as our product candidate development programs progress. However, the successful development of our product candidates is highly uncertain. As such, at this time, we cannot reasonably estimate or know the nature, timing and estimated costs of the efforts that will be necessary to complete the development of and to commercialize these product candidates. We are unable to predict the amount of net cash inflows from any of our products or product candidates. This is due to the numerous risks and uncertainties associated with developing medicines, including the uncertainty of:</w:t>
      </w:r>
    </w:p>
    <w:p>
      <w:pPr>
        <w:spacing w:after="0" w:line="81" w:lineRule="exact"/>
        <w:rPr>
          <w:sz w:val="20"/>
          <w:szCs w:val="20"/>
          <w:color w:val="auto"/>
        </w:rPr>
      </w:pPr>
    </w:p>
    <w:p>
      <w:pPr>
        <w:ind w:left="114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an investigational new drug application, or IND, and/or NDA-enabling toxicology and clinical trials;</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enrolling in, and completion of, clinical trials;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compliant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in the United States or in other jurisdictions, whether alone or in collaboration with others, including pursuant to the NewBridge Agreement and Avanzanite Agreement;</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the products following approval; and</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any approval or post-approval requirements.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54" w:lineRule="exact"/>
        <w:rPr>
          <w:sz w:val="20"/>
          <w:szCs w:val="20"/>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40" w:hanging="484"/>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research and development and both preclinical and clinical activities on our behalf, and the cost of consultants;</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and clinical trial materials; and</w:t>
      </w:r>
    </w:p>
    <w:p>
      <w:pPr>
        <w:spacing w:after="0" w:line="11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the maintenance of facilities, insurance and other operating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our products and most advanced programs: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PYRUKYND®/AQVESME™ (mitapivat): First-in-Class PK Activator</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developing mitapivat for the treatment of PK deficiency and other hemolytic anemias such as thalassemia and SCD. Mitapivat is an orally available small molecule and a potent activator of the wild-type and mutated PK enzymes.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Mitapivat was approved by the FDA under the brand name PYRUKYND®, for the treatment of hemolytic anemia in adults with PK deficiency in the United States and by the European Commission for the treatment of PK deficiency in adult patients in the EU. Additionally, we received marketing authorization in Great Britain for PYRUKYND® for the treatment of PK deficiency in adult patients under the European Commission Decision Reliance Procedure.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the FDA approved mitapivat under the brand name AQVESME™ for the treatment of anemia in adults with non-transfusion dependent and transfusion-dependent alpha- or beta-thalassemia in the United States. AQVESME™ is the only FDA-approved medicine for anemia in both non-transfusion-dependent and transfusion-dependent alpha- or beta-thalassemia. We commercially launched AQVESME™ in the United States in late January 2026 following our implementation of a Risk Evaluation and Mitigation Strategy, or REMS, to mitigate the risk of hepatocellular injury. Mitapivat will continue to be marketed as PYRUKYND® in the United States for the PK deficiency indication, which does not require a REMS. The AQVESME™ REMS requires liver tests prior to the first AQVESME™ dose, every four weeks thereafter for 24 weeks, and then as clinically indicated. It also includes education and certification requirements for patients, prescribing physicians, and pharmacists, which are common components of REMS.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2025, we announced that the Saudi Food and Drug Authority approved PYRUKYND® for the treatment of adults with non-transfusion dependent and transfusion-dependent alpha- or beta-thalassemia. In addition, in March 2026, we announced that the Emirates Drug Establishment of the United Arab Emirates approved PYRUKYND® for the treatment of adults with non-transfusion dependent and transfusion-dependent alpha- or beta-thalassemia.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we announced that we submitted an MAA to the EMA for PYRUKYND® for the treatment of adult patients with non-transfusion dependent and transfusion-dependent alpha- or beta-thalassemia. In October 2025, we announced that the CHMP of the EMA adopted a positive opinion for the new indication for PYRUKYND® in adults for the treatment of anemia associated with transfusion-dependent and non-transfusion-dependent alpha- or beta-thalassemia. The European Commission is reviewing the CHMP’s opinion, with the final decision expected in the first half of 2026.</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2026, we presented data from the phase 2 and phase 3 portions of the RISE UP study of PYRUKYND® in adults with SCD in a pre-supplemental New Drug Application meeting with the FDA. Based on the FDA’s recommendation, we submitted our proposal to the FDA for a confirmatory clinical trial to support U.S. accelerated approval of mitapivat in SCD. The proposal incorporates a primary endpoint that is different from the endpoints in the RISE UP studies and is informed by both analyses of RISE UP data and discussions with the FDA. We intend to submit an sNDA for mitapivat for SCD in the second quarter of 2026.</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evaluating mitapivat for the treatment of pediatric patients with PK deficiency. Additionally, mitapivat has received orphan drug designation from the FDA for the treatment of thalassemia and SCD, and orphan medicinal product designation from the EMA for the treatment of SCD. Mitapivat was granted orphan drug designation for the treatment of PK deficiency by the FDA and EMA.</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full ownership rights to PYRUKYND® and AQVESME™ and expect to fund the future development and commercialization costs related to PYRUKYND® and AQVESME™. We built our commercial infrastructure to support the commercialization of PYRUKYND® in adult PK deficiency in the United States, and have expanded this infrastructure to support the commercial launch of AQVESME™ in thalassemia in the United States. In July 2024, we entered into the NewBridge Agreement with NewBridge, pursuant to which we granted NewBridge the right to commercialize PYRUKYND® in the GCC region. In June 2025, we entered into the Avanzanite Agreement with Avanzanite, pursuant to which we granted Avanzanite the right to commercialize PYRUKYND® in the European Economic Area, Switzerland, and the United Kingdom. Under the NewBridge Agreement and the Avanzanite Agreement, we rely on NewBridge and Avanzanite, respectively, to assist with regulatory filings, prepare applications for pricing and reimbursement approval, negotiate with payors, conduct medical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affairs activities and import, distribute, promote and commercialize our products in accordance with applicable law in the applicable jurisdictions.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regulatory approvals in the EU, Great Britain, Saudi Arabia and the United Arab Emirates, we provide access to PYRUKYND® to eligible patients through the Avanzanite Agreement and the NewBridge Agreement, as applicable, and on either a free of charge or for charge basis for eligible patients in those jurisdictions and other jurisdictions through a global managed access program. Revenues associated with the NewBridge Agreement, the Avanzanite Agreement and the for charge portion of our global managed access program are included in the rest of world product revenue line within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We continue to evaluate other options for the commercialization of PYRUKYND® outside of the United States, including through exploring potential partnership opportunities.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evaluating mitapivat in numerous clinical trials, including the following:</w:t>
      </w:r>
    </w:p>
    <w:p>
      <w:pPr>
        <w:spacing w:after="0" w:line="117" w:lineRule="exact"/>
        <w:rPr>
          <w:sz w:val="20"/>
          <w:szCs w:val="20"/>
          <w:color w:val="auto"/>
        </w:rPr>
      </w:pPr>
    </w:p>
    <w:p>
      <w:pPr>
        <w:ind w:left="500" w:right="20" w:hanging="492"/>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study evaluating the long-term safety, tolerability and efficacy of treatment with mitapivat in SCD patients who are 16 years of age or older from RISE UP, our completed double-blind phase 3 study evaluating the efficacy and safety of mitapivat as a potential treatment for SCD.</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51"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UP, a phase 2/3 study evaluating the efficacy and safety of mitapivat in SCD patients who are 16 years of age or older, have had between two and 10 sickle cell pain crises, or SCPCs, in the past 12 months, and have hemoglobin within the range of 5.5 to 10.5 g/dL during screening. We enrolled 207 patients in the phase 3 portion of the trial, which included a 52-week double blind, randomized, placebo-controlled period in which participants were randomized in a 2:1 ratio to receive the recommended (100 mg twice daily) mitapivat dose level or the placebo. The 52-week double-blind treatment period was completed by 87.0% (n=120/138) of patients in the mitapivat arm and 81.2% (n=56/69) of patients in the placebo arm. All but two of these patients (174/176) opted to enter the ongoing 216-week open-label extension period of the study. The primary endpoints of the phase 3 portion of the trial were (i) hemoglobin response, defined as ≥1 g/dL increase in average hemoglobin from week 24 through week 52 compared to baseline, and (ii) annualized rate of SCPCs. The secondary endpoints included change from baseline in hemoglobin concentration, change from baseline in indirect bilirubin, change from baseline in Patient Reported Outcome Measurement Information System Fatigue 13a, or PROMIS Fatigue, Short Form scores, annualized frequency of hospitalizations for SCPCs, and change from baseline in percent reticulocyte levels. In November 2025, we announced that the phase 3 portion of the trial had achieved the primary endpoint of hemoglobin response in the mitapivat arm, with 40.6% of patients in the mitapivat arm having achieved a hemoglobin response, compared to 2.9% of patients in the placebo arm, a statistically significant improvement (2-sided p&lt;0.0001). In patients who achieved a hemoglobin response in the mitapivat arm, mean change from baseline in average hemoglobin concentration from Week 24 through Week 52 was 1.6 g/dL. The annualized rate of SCPCs, defined as acute pain needing medical contact, acute chest syndrome, priapism, hepatic, or splenic sequestration, was 2.62 in the mitapivat arm and 3.05 in the placebo arm (2-sided p=0.1213), with such reduction of SCPCs not achieving statistical significance for that primary endpoint. Treatment with mitapivat also showed statistically significant improvements in two secondary endpoints: (a) the average change from baseline in hemoglobin concentration from Week 24 through Week 52 was 7.69 g/L in the mitapivat arm and 0.26 g/L in the placebo arm, a statistically significant improvement (2-sided p&lt;0.0001), and (b) the average change from baseline in indirect bilirubin from Week 24 through Week 52 was -16.03 µmol/L in the mitapivat arm and 0.88 µmol/L in the placebo arm, a statistically significant improvement (2-sided p&lt;0.0001). The average change from baseline in PROMIS Fatigue score from Week 24 through Week 52 was -2.72 in the mitapivat arm and -2.25 in the placebo arm (2-sided p=0.7112), indicating improvements in fatigue, but the PROMIS Fatigue secondary endpoint was not met. No conclusions could be drawn regarding the statistical significance of the following additional key secondary endpoints: (a) the annualized frequency of hospitalizations for SCPCs, with 1.56 in the mitapivat arm and 1.81 in the placebo arm (2-sided nominal p=0.2498), and (b) the average change from baseline in percent reticulocyte levels from Week 24 through Week 52, with -0.0236 (fraction of 1) in the mitapivat arm and -0.0013 (fraction of 1) in the placebo arm (2-sided nominal p=0.0001). We also announced that in the subset of patients in the mitapivat arm achieving the primary endpoint of hemoglobin response, the following was observed: (i) the annualized rate of SCPCs was 2.20 for hemoglobin responders and 2.98 for non-hemoglobin responders (rate ratio [RR]=0.74, 95% confidence interval [CI]=0.58 to 0.94); (ii) the annualized frequency of hospitalizations for SCPCs was 1.16 for hemoglobin responders and 1.76 for non-hemoglobin responders (RR=0.66, 95% CI=0.48 to 0.91); and (iii) the average change in PROMIS Fatigue score between Week 24 and Week 52 was -5.19 for hemoglobin responders and -2.55 for non-hemoglobin responders (95% CI=-5.59 to 0.32). The results for hemoglobin responders in the mitapivat arm exceeded -4.1, the threshold for a clinically meaningful change from baseline for PROMIS Fatigue score. The safety profile for mitapivat observed in the phase 3 portion of the trial was generally consistent with that observed in prior mitapivat SCD trials. We observed as follows: (i) a similar proportion of patients on mitapivat (n=134, 97.1%) and placebo (n=68, 98.6%) had adverse events; (ii) serious treatment emergent adverse events, or TEAEs, were reported in 20.3% (n=28) and 29.0% (n=20) of patients on mitapivat and placebo, respectively; 0.7% (n=1) and 0.0% (n=0), respectively, were considered treatment-related; (iii) liver abnormalities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observed across the mitapivat and placebo arms were not suggestive of drug-induced hepatocellular injury, unlike what was observed in the mitapivat ENERGIZE and ENERGIZE-T phase 3 trials; (iv) TEAEs led to treatment discontinuation in 4.3% (n=6) of patients on mitapivat and 2.9% (n=2) on placebo; and (v) three deaths (2.2%) occurred in patients on mitapivat, and two (2.9%) on placebo, none of which were deemed related to study treatment by the trial investigator.</w:t>
      </w:r>
    </w:p>
    <w:p>
      <w:pPr>
        <w:spacing w:after="0" w:line="72" w:lineRule="exact"/>
        <w:rPr>
          <w:sz w:val="20"/>
          <w:szCs w:val="20"/>
          <w:color w:val="auto"/>
        </w:rPr>
      </w:pPr>
    </w:p>
    <w:p>
      <w:pPr>
        <w:jc w:val="both"/>
        <w:ind w:left="500" w:hanging="492"/>
        <w:spacing w:after="0" w:line="266"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studies evaluating the long-term safety, tolerability and efficacy of treatment with mitapivat in pediatric patients from ACTIVATE-kids and ACTIVATE-kidsT, our completed double-blind phase 3 studies evaluating the efficacy and safety of mitapivat as a potential treatment for PK deficiency in not regularly transfused and regularly transfused patients between one and 18 years old, respectively.</w:t>
      </w:r>
    </w:p>
    <w:p>
      <w:pPr>
        <w:spacing w:after="0" w:line="67" w:lineRule="exact"/>
        <w:rPr>
          <w:rFonts w:ascii="Times New Roman" w:cs="Times New Roman" w:eastAsia="Times New Roman" w:hAnsi="Times New Roman"/>
          <w:sz w:val="18"/>
          <w:szCs w:val="18"/>
          <w:color w:val="auto"/>
        </w:rPr>
      </w:pPr>
    </w:p>
    <w:p>
      <w:pPr>
        <w:ind w:left="500" w:hanging="492"/>
        <w:spacing w:after="0" w:line="281"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study evaluating the long-term safety, tolerability and efficacy of treatment with mitapivat in patients from ACTIVATE and ACTIVATE-T, our completed pivotal trials of mitapivat in not regularly transfused and regularly transfused adult patients with PK deficiency.</w:t>
      </w:r>
    </w:p>
    <w:p>
      <w:pPr>
        <w:spacing w:after="0" w:line="1" w:lineRule="exact"/>
        <w:rPr>
          <w:rFonts w:ascii="Times New Roman" w:cs="Times New Roman" w:eastAsia="Times New Roman" w:hAnsi="Times New Roman"/>
          <w:sz w:val="18"/>
          <w:szCs w:val="18"/>
          <w:color w:val="auto"/>
        </w:rPr>
      </w:pPr>
    </w:p>
    <w:p>
      <w:pPr>
        <w:jc w:val="both"/>
        <w:ind w:left="500" w:right="20" w:hanging="492"/>
        <w:spacing w:after="0" w:line="298" w:lineRule="auto"/>
        <w:tabs>
          <w:tab w:leader="none" w:pos="49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extension study evaluating the long-term safety, tolerability and efficacy of treatment with mitapivat in patients from DRIVE PK, our completed global phase 2, first-in-patient, open-label safety and efficacy clinical trial of mitapivat in adult, not regularly transfused patients with PK deficiency.</w:t>
      </w:r>
    </w:p>
    <w:p>
      <w:pPr>
        <w:ind w:left="500" w:hanging="492"/>
        <w:spacing w:after="0" w:line="282"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study evaluating the long-term efficacy and safety of treatment with mitapivat in patients from ENERGIZE and ENERGIZE-T, our completed pivotal trials of mitapivat in adults with non-transfusion-dependent and transfusion-dependent alpha- or beta-thalassemia.</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double-blind periods of ENERGIZE and ENERGIZE-T, two patients on mitapivat experienced events of hepatocellular injury. In addition, during the open-label extension periods of both trials, a total of three patients experienced events of hepatocellular injury after switching from placebo to mitapivat. All of these events occurred within the first six months of exposure to mitapivat and liver tests improved following discontinuation of mitapivat. Based on the results of the ENERGIZE and ENERGIZE-T trials, we included in our regulatory applications hepatocellular injury as an important potential risk of mitapivat in patients with thalassemia and proposed monthly monitoring of liver tests for the first six months of treatment with mitapivat. We updated our mitapivat clinical trial protocols across all indications to incorporate monthly monitoring of liver tests for the first six months of treatment.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Tebapivat: Novel PK Activator</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developing tebapivat, a novel PK activator for the potential treatment of LR MDS and SCD. Tebapivat has been granted orphan drug designation for the treatment of MDS by the FDA.</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completed a phase 1 clinical trial evaluating tebapivat in healthy volunteers and patients with SCD, and have completed enrollment in the phase 2 clinical trial of tebapivat in adult patients with SCD. We expect to announce topline data for this trial in the second half of 2026.</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initiated a phase 2a clinical trial of tebapivat in adults with LR MDS in the third quarter of 2022, and the trial has completed enrollment with 22 patients, including 12 patients classified as non-transfused and 10 patients classified as low transfusion burden. Patients received 5 mg of tebapivat once daily for up to 16 weeks. The two primary endpoints of the trial were transfusion independence (for patients classified as low transfusion burden), defined as transfusion-free for ≥ eight consecutive weeks during the 16-week treatment period, and hemoglobin response, defined as a ≥ 1.5 g/dL increase from baseline in the average hemoglobin concentration measured from week 8 through week 16.</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we announced that we achieved clinical proof-of-concept in the phase 2a portion of the trial. We observed that four of the 10 patients with low transfusion burden achieved the transfusion independence endpoint, and one of the 22 patients achieved the hemoglobin response endpoint in the 16-week treatment period. The safety profile observed was consistent with data reported in the healthy volunteer study of tebapivat. 19 patients elected to enroll in the extension period of the trial for up to 156 weeks. We evaluated the phase 2a trial results and assessed the impact of those results on the phase 2b portion of the protocol, and based on the data generated in the phase 2a portion of the trial, we increased the dosage levels evaluated in the phase 2b portion of the trial, which we initiated in the third quarter of 2024. We completed enrollment in the phase 2b portion of the trial in September 2025 and expect to announce topline data for this trial in the first half of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aforementioned development programs, we are developing AG-181, a PAH stabilizer for the potential treatment of PKU, for which we filed an IND in December 2023. We initiated a phase 1 clinical trial of AG-181 in healthy volunteers in the first quarter of 2024, initiated the multiple ascending dose portion of the trial in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completed the trial in December 2025. We expect to initiate a phase 1b trial of AG-181 in patients with PKU in the first half of 2026 and confirm proof of mechanism in the second half of 2026.</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in July 2023, we entered into a license agreement with Alnylam for the development and commercialization of products containing or comprised of an siRNA preclinical development candidate discovered by Alnylam and targeting the TMPRSS6 gene, and we are developing a product candidate, AG-236, for the potential treatment of patients with PV. We filed an IND with the FDA for AG-236 for the treatment of PV, which cleared in June 2025, and</w:t>
      </w:r>
    </w:p>
    <w:p>
      <w:pPr>
        <w:jc w:val="both"/>
        <w:spacing w:after="0" w:line="282" w:lineRule="auto"/>
        <w:rPr>
          <w:sz w:val="20"/>
          <w:szCs w:val="20"/>
          <w:color w:val="auto"/>
        </w:rPr>
      </w:pPr>
      <w:r>
        <w:rPr>
          <w:rFonts w:ascii="Times New Roman" w:cs="Times New Roman" w:eastAsia="Times New Roman" w:hAnsi="Times New Roman"/>
          <w:sz w:val="18"/>
          <w:szCs w:val="18"/>
          <w:color w:val="auto"/>
        </w:rPr>
        <w:t>initiated a phase 1 clinical trial evaluating AG-236 in healthy volunteers in July 2025. We expect to announce topline data for this trial in the first half of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related costs, including stock-based compensation, for personnel in executive, finance, business development, commercial, legal, information technology and human resources functions. Other significant costs include facility-related costs not otherwise included in research and development expenses, legal fees relating to patent and corporate matters, and fees for accounting and consulting services.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in the future to support continued research and development activities, and ongoing and future commercialization activities related to our portfolio, including the ongoing commercialization of PYRUKYND®, AQVESME™ and any of our other product candidates, which may include the hiring of additional personnel.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those which require the most significant judgments and estimates in the preparation of our condensed consolidated financial statements. We have determined that our most critical accounting estimates are those relating to revenue recognition, accrued research and development expenses and stock-based compensation. As of March 31, 2026, there have been no material changes to our existing critical accounting estimates discussed in Part II, Item 7 of our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18,851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1,895</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20,746</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20,746</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Revenue - Three Months Ended March 31, 2026 vs. Three Months Ended March 31, 2025 </w:t>
      </w:r>
      <w:r>
        <w:rPr>
          <w:rFonts w:ascii="Times New Roman" w:cs="Times New Roman" w:eastAsia="Times New Roman" w:hAnsi="Times New Roman"/>
          <w:sz w:val="18"/>
          <w:szCs w:val="18"/>
          <w:color w:val="auto"/>
        </w:rPr>
        <w:t>– The increase in total revenue of $12.0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three months ended March 31, 2026 compared to the three months ended March 31, 2025 was due to an increase of $10.1 million in United States product revenue and an increase of $1.9 million in rest of world product revenue. The increase in United States product revenue was primarily due to increased volume associated with AQVESME™, which launched on December 23, 2025, and increased volume associated with PYRUKYND®. The increase in rest of world product revenue was primarily due to increased volume associated with the Newbridge Agreement discussed above in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Operating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1,319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81,148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48,304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130,771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115,355</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 Three Months Ended March 31, 2026 vs. Three Months Ended March 31, 2025 </w:t>
      </w:r>
      <w:r>
        <w:rPr>
          <w:rFonts w:ascii="Times New Roman" w:cs="Times New Roman" w:eastAsia="Times New Roman" w:hAnsi="Times New Roman"/>
          <w:sz w:val="18"/>
          <w:szCs w:val="18"/>
          <w:color w:val="auto"/>
        </w:rPr>
        <w:t>– The increase in total operating expenses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$15.4 million for the three months ended March 31, 2026 compared to the three months ended March 31, 2025 was primarily due to an increase in research and development expenses of $8.4 million, which is described below under Research and Development Expenses, and an increase in selling, general and administrative expenses of $6.8 million, driven by an increase in commercial-related activities as we execute our launch of AQVESME™ in thalassemia, and an increase in stock compensation expense.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expenses, by major program, are outlined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PK activator (PYRUKYND®/AQVESME™)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23,905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Novel PK activator (tebapivat)</w:t>
            </w:r>
          </w:p>
        </w:tc>
        <w:tc>
          <w:tcPr>
            <w:tcW w:w="3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5,925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PAH stabilizer (AG-181)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siRNA targeting TMPRSS6 (AG-236)</w:t>
            </w:r>
          </w:p>
        </w:tc>
        <w:tc>
          <w:tcPr>
            <w:tcW w:w="3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1,708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research and platform programs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1,355</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23"/>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3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33,861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36,789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32,990</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Facilities and IT related expenses &amp; other</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10,498</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47,287</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81,148</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Total Research and Development Expenses - Three Months Ended March 31, 2026 vs. Three Months Ended March 31, 2025 </w:t>
      </w:r>
      <w:r>
        <w:rPr>
          <w:rFonts w:ascii="Times New Roman" w:cs="Times New Roman" w:eastAsia="Times New Roman" w:hAnsi="Times New Roman"/>
          <w:sz w:val="18"/>
          <w:szCs w:val="18"/>
          <w:color w:val="auto"/>
        </w:rPr>
        <w:t>– The increase in total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development expenses of $8.4 million for the three months ended March 31, 2026 compared to the three months ended March 31, 2025 was due to a $4.7 million increase in our indirect expenses and a $3.7 million increase in our direct expenses. The increase in our indirect expenses was primarily due to higher compensation and related expenses driven principally by workforce-related expenses. The increase in direct expenses was primarily due to an increase in PYRUKYND®/AQVESME™ costs driven by higher process development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10,795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119</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Income and Expense - Three Months Ended March 31, 2026 vs. Three Months Ended March 31, 2025 </w:t>
      </w:r>
      <w:r>
        <w:rPr>
          <w:rFonts w:ascii="Times New Roman" w:cs="Times New Roman" w:eastAsia="Times New Roman" w:hAnsi="Times New Roman"/>
          <w:sz w:val="18"/>
          <w:szCs w:val="18"/>
          <w:color w:val="auto"/>
        </w:rPr>
        <w:t>– The decrease in interest income, net was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lower investment balance in the three months ended March 31, 2026 compared to the three months ended March 31, 2025</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(99,111)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(89,289)</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Loss - Three Months Ended March 31, 2026 vs. Three Months Ended March 31, 2025 </w:t>
      </w:r>
      <w:r>
        <w:rPr>
          <w:rFonts w:ascii="Times New Roman" w:cs="Times New Roman" w:eastAsia="Times New Roman" w:hAnsi="Times New Roman"/>
          <w:sz w:val="18"/>
          <w:szCs w:val="18"/>
          <w:color w:val="auto"/>
        </w:rPr>
        <w:t>– The increase in net loss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2026 compared to the three months ended March 31, 2025 was primarily driven by the increase in research and development expenses discussed above under </w:t>
      </w: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xml:space="preserve"> the increase in selling, general and administrative expenses discussed above under </w:t>
      </w:r>
      <w:r>
        <w:rPr>
          <w:rFonts w:ascii="Times New Roman" w:cs="Times New Roman" w:eastAsia="Times New Roman" w:hAnsi="Times New Roman"/>
          <w:sz w:val="18"/>
          <w:szCs w:val="18"/>
          <w:i w:val="1"/>
          <w:iCs w:val="1"/>
          <w:color w:val="auto"/>
        </w:rPr>
        <w:t>Total Operating Expenses</w:t>
      </w:r>
      <w:r>
        <w:rPr>
          <w:rFonts w:ascii="Times New Roman" w:cs="Times New Roman" w:eastAsia="Times New Roman" w:hAnsi="Times New Roman"/>
          <w:sz w:val="18"/>
          <w:szCs w:val="18"/>
          <w:color w:val="auto"/>
        </w:rPr>
        <w:t xml:space="preserve"> and the decrease in interest income, net discussed above in </w:t>
      </w:r>
      <w:r>
        <w:rPr>
          <w:rFonts w:ascii="Times New Roman" w:cs="Times New Roman" w:eastAsia="Times New Roman" w:hAnsi="Times New Roman"/>
          <w:sz w:val="18"/>
          <w:szCs w:val="18"/>
          <w:i w:val="1"/>
          <w:iCs w:val="1"/>
          <w:color w:val="auto"/>
        </w:rPr>
        <w:t>Other Income and Expense</w:t>
      </w:r>
      <w:r>
        <w:rPr>
          <w:rFonts w:ascii="Times New Roman" w:cs="Times New Roman" w:eastAsia="Times New Roman" w:hAnsi="Times New Roman"/>
          <w:sz w:val="18"/>
          <w:szCs w:val="18"/>
          <w:color w:val="auto"/>
        </w:rPr>
        <w:t xml:space="preserve">, partially offset by the increase in product revenue discussed above under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and through March 2021, we financed our operations primarily through proceeds from the sale of our royalty rights, commercial sales of TIBSOVO®, funding received from our collaboration agreements, private placements of our preferred stock, our initial public offering of our common stock and concurrent private placement of common stock to an affiliate of Celgene, and our follow-on public offerings. Following the sale of our oncology business to Servier in March 2021, we have financed and expect to continue to finance our operations primarily through cash on hand, potential royalty payments with respect to the Retained Earn-Out Rights, the actual and potential future sales of PYRUKYND® and AQVESME™ and, potentially, collaborations, strategic alliances, licensing arrangements and other nondilutive strategic transactions. In addition, we may pursue opportunistic debt offerings, and equity or equity-linked offerings.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2021, we completed the sale of our oncology business to Servier. The transaction included the sale of our entire oncology business, including our clinical-stage product candidate vorasidenib and the Vorasidenib Royalty Rights. The Vorasidenib Royalty Rights are referred to as contingent payments and recognized as income when realizable.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2024, we entered into a purchase and sale agreement to sell the Vorasidenib Royalty Rights to Royalty Pharma Investments 2019 ICAV, or Royalty Pharma. The sale was contingent upon FDA approval of vorasidenib and other customary closing conditions.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consummation of the sale in August 2024, Royalty Pharma acquired 100% of the Vorasidenib Royalty Rights payments made by Servier on account of up to $1.0 billion in U.S. net sales for each calendar year. In addition, any such Vorasidenib Royalty Rights payments made by Servier on account of U.S. net sales in each calendar year in excess of $1.0 billion will be split, with Royalty Pharma having the rights to a 12% earn-out on those excess payments and Agios retaining the rights to a 3% earn-out on those excess payments, or the Retained Earn-Out Rights. Royalty income related to the Retained Earn-Out Rights, if any, will be recognized in the period when realizable.</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cash, cash equivalents and marketable securities balance was $1.0 billion at March 31, 2026. The Retained Earn-Out Rights discussed above are our only committed potential external sources of funds. We cannot predict what success, if any, Servier may have in the United States with respect to the sale of vorasidenib, and consequently, we cannot estimate the amount of payments, if any, we may receive on account of the Retained Earn-Out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2026 and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(111,489)</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0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141,312</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112,587</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2,078</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24,470</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Cash used in operating activities of $118.9 million during the three months ended March 31, 2026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operating expenses driven by research and development costs described above under </w:t>
      </w: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partially offset by cash received from product revenues of $16.9 million and interest income of $12.4 million.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Cash used in operating activities of $111.5 million during the three months ended March 31, 2025 was primarily due to operating expenses driven by research and development costs described above under </w:t>
      </w: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partially offset by cash received from interest income of $16.1 million and product revenues of $10.4 million.</w:t>
      </w:r>
    </w:p>
    <w:p>
      <w:pPr>
        <w:spacing w:after="0" w:line="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Net cash provided by investing activities</w:t>
      </w:r>
      <w:r>
        <w:rPr>
          <w:rFonts w:ascii="Times New Roman" w:cs="Times New Roman" w:eastAsia="Times New Roman" w:hAnsi="Times New Roman"/>
          <w:sz w:val="18"/>
          <w:szCs w:val="18"/>
          <w:color w:val="auto"/>
        </w:rPr>
        <w:t>. Cash provided by investing activities of $141.3 million during the three months ended March 31, 2026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higher proceeds from maturities and sales of marketable securities than purchases of marketable securities.</w:t>
      </w:r>
    </w:p>
    <w:p>
      <w:pPr>
        <w:spacing w:after="0" w:line="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of $112.6 million during the three months ended March 31, 2025 was primarily due to higher proceeds from maturities and sales of marketable securities than purchases of marketable securities.</w:t>
      </w:r>
    </w:p>
    <w:p>
      <w:pPr>
        <w:spacing w:after="0" w:line="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Net cash provided by financing activities</w:t>
      </w:r>
      <w:r>
        <w:rPr>
          <w:rFonts w:ascii="Times New Roman" w:cs="Times New Roman" w:eastAsia="Times New Roman" w:hAnsi="Times New Roman"/>
          <w:sz w:val="18"/>
          <w:szCs w:val="18"/>
          <w:color w:val="auto"/>
        </w:rPr>
        <w:t>. Cash provided by financing activities of $2.1 million during the three months ended March 31, 2026, was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proceeds received from stock option exercises and purchases made pursuant to our 2013 Employee Stock Purchase Plan, or 2013 ESPP.</w:t>
      </w: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$1.6 million during the three months ended March 31, 2025, was due to net proceeds received from stock option exercises and purchases made pursuant to our 2013 ESPP.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as we continue the research, development and clinical trials of, seek marketing approvals for, and commercialize our product candidates in our portfolio, including as we continue to commercialize PYRUKYND® and AQVESME™ for their approved indications. If we obtain additional marketing approvals for mitapivat in SCD or in other indications, or for any of our other product candidates, we expect to incur significant commercialization expenses related to product sales, marketing, manufacturing and distribution.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as of March 31, 2026, together with anticipated product revenue and interest income, will provide the financial independence to execute the U.S. commercial launch of AQVESME™ in thalassemia, prepare for the potential U.S. commercial launch of mitapivat in SCD, advance our existing clinical programs, and opportunistically expand our pipeline through both internally and externally discovered assets. Our expectations regarding our long-term funding requirements are based on assumptions that may prove to be wrong, and we may need additional capital resources to fund our operating plans and capital expenditure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140" w:hanging="484"/>
        <w:spacing w:after="0" w:line="280" w:lineRule="auto"/>
        <w:tabs>
          <w:tab w:leader="none" w:pos="113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amount and timing of future revenue received from commercial sales of PYRUKYND®, AQVESME™ or any of our other product candidates for which we may receive marketing approval;</w:t>
      </w:r>
    </w:p>
    <w:p>
      <w:pPr>
        <w:spacing w:after="0" w:line="3" w:lineRule="exact"/>
        <w:rPr>
          <w:rFonts w:ascii="Times New Roman" w:cs="Times New Roman" w:eastAsia="Times New Roman" w:hAnsi="Times New Roman"/>
          <w:sz w:val="18"/>
          <w:szCs w:val="18"/>
          <w:i w:val="1"/>
          <w:iCs w:val="1"/>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amount of payments, if any, we may receive on account of the Retained Earn-Out Rights;</w:t>
      </w:r>
    </w:p>
    <w:p>
      <w:pPr>
        <w:spacing w:after="0" w:line="63" w:lineRule="exact"/>
        <w:rPr>
          <w:rFonts w:ascii="Times New Roman" w:cs="Times New Roman" w:eastAsia="Times New Roman" w:hAnsi="Times New Roman"/>
          <w:sz w:val="18"/>
          <w:szCs w:val="18"/>
          <w:i w:val="1"/>
          <w:iCs w:val="1"/>
          <w:color w:val="auto"/>
        </w:rPr>
      </w:pPr>
    </w:p>
    <w:p>
      <w:pPr>
        <w:jc w:val="both"/>
        <w:ind w:left="1140" w:hanging="484"/>
        <w:spacing w:after="0" w:line="266" w:lineRule="auto"/>
        <w:tabs>
          <w:tab w:leader="none" w:pos="113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costs and timing of our ongoing and future commercialization activities, including product manufacturing, sales, marketing and distribution for PYRUKYND® and AQVESME™ in the approved jurisdictions and indications and for any product candidate for which we may receive approval;</w:t>
      </w:r>
    </w:p>
    <w:p>
      <w:pPr>
        <w:spacing w:after="0" w:line="13" w:lineRule="exact"/>
        <w:rPr>
          <w:rFonts w:ascii="Times New Roman" w:cs="Times New Roman" w:eastAsia="Times New Roman" w:hAnsi="Times New Roman"/>
          <w:sz w:val="18"/>
          <w:szCs w:val="18"/>
          <w:i w:val="1"/>
          <w:iCs w:val="1"/>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63" w:lineRule="exact"/>
        <w:rPr>
          <w:rFonts w:ascii="Times New Roman" w:cs="Times New Roman" w:eastAsia="Times New Roman" w:hAnsi="Times New Roman"/>
          <w:sz w:val="18"/>
          <w:szCs w:val="18"/>
          <w:i w:val="1"/>
          <w:iCs w:val="1"/>
          <w:color w:val="auto"/>
        </w:rPr>
      </w:pPr>
    </w:p>
    <w:p>
      <w:pPr>
        <w:ind w:left="1140" w:right="20" w:hanging="484"/>
        <w:spacing w:after="0" w:line="280" w:lineRule="auto"/>
        <w:tabs>
          <w:tab w:leader="none" w:pos="113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costs associated with in-licensing or acquiring assets for pipeline growth, including the amount and timing of future milestone and royalty payments potentially payable to Alnylam pursuant to the license agreement;</w:t>
      </w:r>
    </w:p>
    <w:p>
      <w:pPr>
        <w:spacing w:after="0" w:line="3" w:lineRule="exact"/>
        <w:rPr>
          <w:rFonts w:ascii="Times New Roman" w:cs="Times New Roman" w:eastAsia="Times New Roman" w:hAnsi="Times New Roman"/>
          <w:sz w:val="18"/>
          <w:szCs w:val="18"/>
          <w:i w:val="1"/>
          <w:iCs w:val="1"/>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63" w:lineRule="exact"/>
        <w:rPr>
          <w:rFonts w:ascii="Times New Roman" w:cs="Times New Roman" w:eastAsia="Times New Roman" w:hAnsi="Times New Roman"/>
          <w:sz w:val="18"/>
          <w:szCs w:val="18"/>
          <w:i w:val="1"/>
          <w:iCs w:val="1"/>
          <w:color w:val="auto"/>
        </w:rPr>
      </w:pPr>
    </w:p>
    <w:p>
      <w:pPr>
        <w:ind w:left="1140" w:hanging="484"/>
        <w:spacing w:after="0" w:line="280" w:lineRule="auto"/>
        <w:tabs>
          <w:tab w:leader="none" w:pos="113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3" w:lineRule="exact"/>
        <w:rPr>
          <w:rFonts w:ascii="Times New Roman" w:cs="Times New Roman" w:eastAsia="Times New Roman" w:hAnsi="Times New Roman"/>
          <w:sz w:val="18"/>
          <w:szCs w:val="18"/>
          <w:i w:val="1"/>
          <w:iCs w:val="1"/>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63" w:lineRule="exact"/>
        <w:rPr>
          <w:rFonts w:ascii="Times New Roman" w:cs="Times New Roman" w:eastAsia="Times New Roman" w:hAnsi="Times New Roman"/>
          <w:sz w:val="18"/>
          <w:szCs w:val="18"/>
          <w:i w:val="1"/>
          <w:iCs w:val="1"/>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ability to successfully execute on our strategic plans;</w:t>
      </w:r>
    </w:p>
    <w:p>
      <w:pPr>
        <w:spacing w:after="0" w:line="63" w:lineRule="exact"/>
        <w:rPr>
          <w:rFonts w:ascii="Times New Roman" w:cs="Times New Roman" w:eastAsia="Times New Roman" w:hAnsi="Times New Roman"/>
          <w:sz w:val="18"/>
          <w:szCs w:val="18"/>
          <w:i w:val="1"/>
          <w:iCs w:val="1"/>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operational delays due to public health epidemics; and</w:t>
      </w:r>
    </w:p>
    <w:p>
      <w:pPr>
        <w:spacing w:after="0" w:line="63" w:lineRule="exact"/>
        <w:rPr>
          <w:rFonts w:ascii="Times New Roman" w:cs="Times New Roman" w:eastAsia="Times New Roman" w:hAnsi="Times New Roman"/>
          <w:sz w:val="18"/>
          <w:szCs w:val="18"/>
          <w:i w:val="1"/>
          <w:iCs w:val="1"/>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operational delays, disruptions and/or increased costs associated with global economic and political developments.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primarily through cash on hand, potential royalty payments with respect to the Retained Earn-Out Rights, the actual and potential future sales of PYRUKYND® and AQVESME™ and, potentially, collaborations, strategic alliances, licensing arrangements and other nondilutive strategic transactions. In addition, we may pursue opportunistic debt offerings, and equity or equity-linked offerings. We do not have any committed external source of funds other than the Retained Earn-Out Rights.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stockholders. Debt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on attractive terms, we may be required to delay, limit, reduce or terminate our product development or future commercialization efforts, or grant rights to develop and market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our contractual obligations and commitments described under Management's Discussion and Analysis of Financial Condition and Results of Operations in our Annual Report on Form 10-K for the year ended December 31, 2025.</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March 31, 2026 and December 31, 2025, we had cash, cash equivalents and marketable securities of $1.0 billion and $1.2 billion, respectively, consisting primarily of investments in U.S. Treasuries, government securities, corporate debt securities and certificates of deposit. Our primary exposure to market risk is interest rate sensitivity, which is affected by changes in the general level of U.S. interest rates, particularly because our investments are primarily in short-term marketable securities. Our marketable securities are subject to interest rate risk and could fall in value if market interest rates increase. Due to the short-term duration of our investment portfolio and the low risk profile of our investments, we do not believe an immediate and uniform 100 basis point change in interest rates would have a material effect on the fair market value of our investment portfolio.</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have contracts with CROs and contract manufacturing organizations that are located in Asia and Europe and are denominated in foreign currencies. We are subject to fluctuations in foreign currency rates in connection with these agreements. We do not currently hedge our foreign currency exchange rate risk. As of March 31, 2026 and December 31, 2025, we had minimal or no liabilities denominated in foreign currencies.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Based on that evaluation of our disclosure controls and procedures as of March 31, 2026, our principal executive officer and principal financial officer concluded that our disclosure controls and procedures as of such date are effective at the reasonable assurance level.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it files or submits under the Exchange Act is accumulated and communicated to its management, including its principal executive officer and principal financial officer,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17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Products and Product Candidates</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commercialize PYRUKYND®, AQVESME™ and other products for which we receive approval, our prospects may be substantially harmed.</w:t>
      </w:r>
    </w:p>
    <w:p>
      <w:pPr>
        <w:spacing w:after="0" w:line="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ability to generate meaningful revenue from PYRUKYND® and AQVESME™ will depend heavily on our successful development and commercialization of the product. We generated $20.7 million and $8.7 million of net product revenues from sales of PYRUKYND® and AQVESME™ in the three months ended March 31, 2026 and 2025, respectively. We commercially launched AQVESME™ in the United States in late January 2026. In connection with our regulatory approvals in the EU, Great Britain, Saudi Arabia and the United Arab Emirates, we are currently providing access to PYRUKYND® through the Avanzanite Agreement and the NewBridge Agreement, as applicable, and on a for charge and free of charge basis for eligible patients in those jurisdictions and other jurisdictions through a global managed access program. Revenues associated with the NewBridge Agreement, the Avanzanite Agreement and our global managed access program are included in the rest of world product revenue line within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We continue to evaluate other options for the commercialization of PYRUKYND® outside of the United States, including through exploring potential partnership opportunities.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and commercialization of PYRUKYND® or AQVESME™ could be unsuccessful if:</w:t>
      </w:r>
    </w:p>
    <w:p>
      <w:pPr>
        <w:spacing w:after="0" w:line="63" w:lineRule="exact"/>
        <w:rPr>
          <w:sz w:val="20"/>
          <w:szCs w:val="20"/>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community and third-party payors do not accept PYRUKYND® or AQVESME™ as safe, efficacious and cost-effective in the approved jurisdictions and indications;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maintain the necessary financial resources and expertise to manufacture, market and sell PYRUKYND® or AQVESME™;</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develop, implement and maintain effective marketing, sales and distribution strategies and operations for the development and commercialization of PYRUKYND® or AQVESME™, including PYRUKYND® under the NewBridge Agreement and the Avanzanite Agreement;</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continue to develop, validate and maintain commercially viable manufacturing processes for PYRUKYND® or AQVESME™ that are compliant with current good manufacturing practices, or cGMP;</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successfully obtain third party reimbursement and generate and sustain commercial demand that results in expected sales of PYRUKYND® or AQVESME™;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PYRUKYND® or AQVESME™ become subject to unfavorable pricing regulations and third-party reimbursement practices;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encounter any third-party patent interference, derivation, inter partes review, post-grant review, reexamination or patent infringement claims with respect to PYRUKYND® or AQVESME™;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comply with regulatory and legal requirements applicable to the sale of PYRUKYND® or AQVESME™;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drug products are approved for the same indications or in the same jurisdictions as PYRUKYND® or AQVESME™;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safety, manufacturing and/or quality risks are identified;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PYRUKYND® or AQVESME™ fail to gain and/or maintain sufficient market acceptance by physicians, patients, healthcare payors and others in the medical community;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number of eligible patients are not prescribed PYRUKYND® or AQVESME™ and, if they are, such patients do not stay on treatment;</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does not demonstrate acceptable safety and efficacy in current or future clinical trials, or otherwise does not meet applicable regulatory standards for approval in other indications; or</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AQVESME™ REMS make it more difficult and/or time-consuming for physicians to prescribe AQVESME™ and for patients to subsequently use AQVESME™.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experience significant delays or an inability to successfully develop and commercialize PYRUKYND® and AQVESME™, our business would be materially harmed.</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our clinical-stage product candidates, including the potential approval of mitapivat for the treatment of thalassemia in the EU, or SCD in the United States and in other jurisdictions. Clinical trials of our product candidates may not be successful for a number of important reasons. If we or our collaborators are unable to commercialize our product candidates or experience significant delays in doing so, our business will be materially harmed.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invested a significant portion of our efforts and financial resources in the identification of our product candidates and the development of our most advanced clinical programs, including mitapivat and tebapivat. Our ability to generate meaningful product revenue will depend heavily on the successful clinical development and eventual commercialization of our current and any future product candidates, including mitapivat. We cannot be certain that we will obtain marketing approval of mitapivat in jurisdictions with pending or potential future marketing applications for thalassemia, nor can we be certain that we will obtain marketing approval of mitapivat for SCD or for any other indication.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any collaborators, are not permitted to commercialize, market, promote or sell any product candidate in the United States without obtaining marketing approval from the FDA. Foreign regulatory authorities, such as the EMA, impose similar requirements in foreign jurisdictions. Before obtaining marketing approval from regulatory authorities for the sale of our product candidates, we must complete preclinical development and then conduct extensive clinical trials to demonstrate the safety and efficacy of our product candidates in humans.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outcome. We cannot guarantee that any clinical trials will be conducted as planned or completed on schedule, if at all. The clinical development of our product candidates is susceptible to the risk of failure inherent at any stage of product development. Moreover, we, or any collaborators, may experience any of a number of possible unforeseen adverse events in connection with clinical trials, many of which are beyond our control, including:</w:t>
      </w:r>
    </w:p>
    <w:p>
      <w:pPr>
        <w:spacing w:after="0" w:line="12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fail to demonstrate efficacy in a clinical trial or across a broad population of patients;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For example, many compounds that initially showed promise in earlier stage testing for treating specific indications have later been found to cause side effects that prevented further development of the compound;</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or otherwise expose participants to unacceptable health risks, causing us, our collaborators or our investigators, regulators or institutional review boards or the data safety monitoring board for such trial to halt, delay, interrupt, suspend or terminate the trials or cause us, or any collaborators, to abandon or limit development of that product candidate to certain uses or subpopulations in which the undesirable side effects or other characteristics are less prevalent, less severe or more acceptable from a risk-benefit perspective;</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 candidates have undesirable side effects, it could result in a more restrictive label or the addition of safety warnings, or it could result in the delay or denial of marketing approval by the FDA or comparable foreign regulatory authorities. For example, the U.S. Prescribing Information, or USPI, for PYRUKYND® includes a warning regarding the risk of potential hepatocellular injury, and the USPI for AQVESME™ contains a boxed warning regarding the potential for hepatocellular injury. In addition, the FDA has required and might in the future require the development and submission of REMS for our products. For example, to mitigate the risk of hepatocellular injury, AQVESME™ is available only through the REMS approved by the FDA;</w:t>
      </w:r>
    </w:p>
    <w:p>
      <w:pPr>
        <w:spacing w:after="0" w:line="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or our collaborators, may decide, or regulators may require us, to conduct additional clinical trials, including testing in more subjects, or abandon product development programs;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our collaborators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have delays in reaching or failing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which may be particularly challenging for some of the orphan diseases we target 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our rare disease programs, may be slower than we anticipate; or participants may drop out of these clinical trials at a higher rate than we anticipate;</w:t>
      </w:r>
    </w:p>
    <w:p>
      <w:pPr>
        <w:spacing w:after="0" w:line="54" w:lineRule="exact"/>
        <w:rPr>
          <w:sz w:val="20"/>
          <w:szCs w:val="20"/>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used by us or our collaborators may fail to comply with regulatory requirements or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preclinical study or clinical trial delays could shorten any periods during which we, or any collaborators, may have the exclusive right to commercialize our product candidates or allow our competitors, or the competitors of any collaborators, to bring products to market before we, or any collaborators, do;</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anticipated;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2016, we withdrew our IND for AG-519, our second PK activator, following verbal notification of a clinical hold from the FDA relating to a previously disclosed case of drug-induced cholestatic hepatitis which occurred in our phase 1 clinical trial of AG-519 in healthy volunteers. Although these decisions and this hepatic adverse event finding do not affect our ongoing clinical trials for mitapivat or tebapivat, we cannot provide any assurances that there will not be other treatment-related severe adverse events in our other clinical trials, or that our other trials will not be placed on clinical hold in the future.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successfully complete clinical trials of our product candidates and obtain regulatory approval to market any of our product candidates could significantly harm our business.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PYRUKYND®, AQVESME™ or any of our product candidates that may receive marketing approval in the future, may fail to achieve the degree of market acceptance by physicians, patients, healthcare payors and others in the medical community necessary for commercial success.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PYRUKYND®, AQVESME™ or any of our product candidates that may receive marketing approval in the future, may fail to gain and/or maintain sufficient market acceptance by physicians, patients, healthcare payors and others in the medical community, which could limit our ability to generate product revenue and impact our ability to become profitable. The degree of market acceptance of PYRUKYND®, AQVESME™ and any of our product candidates, if approved for commercial sale, will depend on a number of factors, including:</w:t>
      </w:r>
    </w:p>
    <w:p>
      <w:pPr>
        <w:spacing w:after="0" w:line="12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medicines for sale at competitive prices;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uninterrupted product supply;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 including under any distribution agreement with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 including any limitations or warnings contained in a product’s approved labeling, such as the USPI for AQVESME™ containing a boxed warning regarding the potential for hepatocellular injury and the USPI for PYRUKYND® including warning regarding the risk of potential hepatocellular injury;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implement a REMS, such as the REMS required for AQVESME™. Failure of physicians, prescribers, pharmacies or patients to enroll in our REMS program or to successfully complete and comply with its requirements may result in regulatory action from the FDA or decreased sales of AQVESME™.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sales and marketing capabilities or enter into agreements with third parties to sell and market our product candidates, we may not be successful in commercializing PYRUKYND®, AQVESME™ or any of our product candidates if they are approved.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limited experience in the sale, marketing and distribution of pharmaceutical products. To achieve commercial success for approved medicines for which we retain sales and marketing responsibilities, we must either continue to develop our sales and marketing organization or outsource these functions to other third parties. We have established sales and marketing capabilities to support our commercialization of PYRUKYND® for the treatment of hemolytic anemia in adults with PK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deficiency in the United States and expanded these capabilities to support the commercial launch of AQVESME™ for the treatment of anemia in adults with non-transfusion dependent and transfusion-dependent alpha- or beta-thalassemia in the United States.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need to further build our sales and marketing infrastructure, either directly or with third-party partners to commercialize PYRUKYND® in additional markets outside of the United States, or to commercialize any of our other product candidates for which we obtain marketing approval. For example, we have entered into distribution agreements with third parties for the commercialization of PYRUKYND® in certain jurisdictions outside of the United States, including the NewBridge Agreement and the Avanzanite Agreement.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medicines on our own include:</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medicines;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medicines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of product revenue to us are likely to be lower than if we were to market and sell any medicines that we develop ourselves. In addition, we may not be successful in entering into such arrangements with third parties or we may be unable to do so on terms that are favorable to us. We likely will have little control over such third parties, and any of them may fail to devote the necessary resources and attention to sell and market our medicines effectively. If we do not establish or maintain sales and marketing capabilities successfully, either on our own or in collaboration with third parties, we will not be successful in commercializing PYRUKYND®, AQVESME™ or any of our product candidates for which we obtain marketing approval.</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in-licensing transactions or acquisitions that could disrupt our business, cause dilution to our stockholders or reduce our financial resources.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engage in transactions to in-license products, technologies or assets or to acquire other products, technologies, assets or businesses. As part of our strategy, we plan to prioritize in-licensing or acquiring assets for future pipeline growth. For example, in July 2023, we entered into a license agreement with Alnylam for the development and commercialization of products containing or comprised of an siRNA development candidate discovered by Alnylam and targeting the TMPRSS6 gene, and we are developing a product candidate, AG-236, for the potential treatment of patients with PV.</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successfully in-license or acquire assets and develop product candidates following such transactions is unproven. If we do identify additional suitable candidates or assets for in-licensing transactions or acquisitions, we may not be able to make such transactions on favorable terms, or at all. Such transactions may require us to relinquish rights to develop product candidates in certain indications, limit our ability to pursue certain targets or require us to make significant milestone or royalty payments to third parties upon achievement of certain events. For example, we are responsible for paying up to $130.0 million in potential development and regulatory milestones, in addition to sales milestones as well as tiered royalties on annual net sales, if any, of any licensed products, under our license agreement with Alnylam. Further, any in-licensing transaction or acquisitions we undertake may not strengthen our competitive position, and these transactions may be viewed negatively by customers or investors. We may decide to incur debt in connection with an acquisition or an in-licensing transaction or issue our common stock or other equity securities to the stockholders of the counterparty, which would reduce the percentage ownership of our existing stockholders. We could incur losses resulting from undiscovered liabilities of the acquired business, product or technology that are not covered by the indemnification we may obtain from the seller. In addition, we may not be able to successfully integrate the acquired personnel, technologies and operations into our existing business in an effective, timely and non-disruptive manner. Such transactions may also divert management attention from day-to-day responsibilities, increase our expenses and reduce our cash available for operations and other uses. We cannot ensure that following 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we would achieve the expected synergies to justify the transactions. We cannot predict the number, timing or size of future transactions or the effect that any such transactions might have on our operating results.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or our collaborators may not be able to initiate, continue or complete clinical trials for our product candidates if we or they are unable to locate and enroll a sufficient number of eligible patients to participate in these trials as required by the FDA or analogous regulatory authorities outside the United States.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is affected by factors including:</w:t>
      </w:r>
    </w:p>
    <w:p>
      <w:pPr>
        <w:spacing w:after="0" w:line="11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study in question;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health epidemics, pandemics or other contagious outbreaks or geopolitical events, such as war.</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focus our development activities on genetically or biomarker defined patients most likely to respond to our therapies. As a result, the potential patient populations for our clinical trials are narrowed, and we may experience difficulties in identifying and enrolling a sufficient number of patients in our clinical trials.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some of our competitors may have ongoing or planned clinical trials for product candidates that would treat the same indications as our product candidates, and patients who would otherwise be eligible for our clinical trials may instead enroll in clinical trials of our competitors’ product candidates. Competition for eligible patients may make it particularly difficult for us to enroll a sufficient number of patients to complete our clinical trials for our product candidates in a timely and cost-effective manner.</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Ongoing or unanticipated geopolitical events in countries where we may have clinical trial sites could also negatively impact our ability to initiate, enroll and retain patients in, and conduct clinical trials.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and while we have agreements governing their committed activities, we have limited influence over their actual performance. Our or our collaborators’ inability to enroll a sufficient number of patients for our clinical trials would result in significant delays or may require us to abandon one or more clinical trials altogether, or result in increased development costs for our product candidates, which could have an adverse effect on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early clinical trials may not be predictive of results of later-stage clinical trials.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outcome of our preclinical studies and early clinical trials may not be predictive of the success of our later clinical trials, and positive results of our completed clinical trials do not necessarily predict success in our future clinical trials. Many companies in the pharmaceutical and biotechnology industries have suffered significant setbacks in late-stage clinical trials after achieving positive results in earlier stages of development, and we could face similar setbacks. The design of a clinical trial can determine whether its results will support approval of a product and flaws in the design of a clinical trial may not become apparent until the clinical trial is well advanced.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our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data from clinical trials that we announce or publish from time to time may change as more patient data becomes available and are subject to audit and verification procedures that could result in material changes in the final data.</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announce or publish interim or preliminary data from our clinical trials. Interim or preliminary data from clinical trials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evaluate all data. Preliminary or interim data also remain subject to audit and verification procedures that may result in the final data being materially different from the preliminary data we have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clinical trials at sites outside the United States. The FDA may not accept data from trials conducted in such locations, and the conduct of trials outside the United States could subject us to additional delays and expense.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and plan to conduct one or more clinical trials with one or more trial sites that are located outside the United States. The acceptance by the FDA or other regulatory authorities of study data from clinical trials conducted outside their jurisdiction may be subject to certain conditions or may not be accepted at all.</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may result in current or future product candidates that we may develop not receiving approval for commercialization in the applicable jurisdiction.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 foreign exchange fluctuations, compliance with foreign manufacturing, customs, shipment and storage requirements, cultural differences in medical practice and clinical research, diminished protection of intellectual property in some countries, and interruptions or delays in our trials resulting from geopolitical events, such as war or terrorism.</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medicines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others may later discover that PYRUKYND®, AQVESME™ or any of our product candidates that may receive marketing approval in the future, is less effective than previously believed or causes undesirable side effects that were not previously identified, which could compromise our ability, or that of any collaborators, to market the product.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possible that our clinical trials, or those of any collaborators, may indicate an apparent positive effect of a product candidate that is greater than the actual positive effect, if any, or alternatively fail to identify undesirable side effects. If, following approval of a product candidate, including PYRUKYND® and AQVESME™, we, or others, discover that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product is less effective than previously believed or causes undesirable side effects that were not previously identified, any of the following adverse events could occur:</w:t>
      </w:r>
    </w:p>
    <w:p>
      <w:pPr>
        <w:spacing w:after="0" w:line="5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collaborators, may be required to recall the product, change the way the product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warnings on the product label, require a REMS or or modify an existing REMS;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collaborators, may be required to create a Medication Guide outlining the risks of the previously unidentified side effects for distribution to patients;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collaborators,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USPI for PYRUKYND® includes a warning regarding the risk of potential hepatoceullar injury, and the USPI for AQVESME™ contains a boxed warning regarding the potential for hepatocellular injury. In addition, to mitigate the risk of hepatocellular injury, AQVESME™ is available only through the REMS program approved by the FDA. If we are unable to comply with any REMS imposed on any of our products, we may face additional restrictions, limitations or substantial penalties, any of which may materially adversely affect our business and results of operations. We cannot predict whether the FDA will request, seek to require or ultimately require modifications to, or impose additional requirements on, the AQVESME™ REMS.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provide certain development estimates related to the development and regulatory approval of our product candidates, including mitapivat. If we do not achieve our projected development or regulatory approval estimates in the timeframes we announce and expect, the commercialization of our products may be delayed and, as a result, our stock price may decline.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provide estimates related to the development of mitapivat and our other product candidates. We also estimate the timing of the anticipated accomplishment of various scientific, preclinical, clinical, regulatory and other product development goals. These estimates may include the commencement or completion of clinical trials, the timing of completing enrollment, the timing for reporting clinical trial results and the timing of submission of regulatory filings in various jurisdictions. From time to time, we may publicly announce our estimates, including the timing of certain milestones related to our product candidates. All of these estimates are and will be based on numerous assumptions. The actual results and timing of our preclinical studies, clinical trials and regulatory submissions can vary dramatically compared to our estimates, in some cases for reasons beyond our control. If our estimates change or we do not meet the timing of our estimates as publicly announced, or at all, the commercialization of our products may be delayed or never achieved and, as a result, our stock price may decline.</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competition with respect to PYRUKYND®, AQVESME™, mitapivat, tebapivat and our other product candidates, and we will face competition with respect to any product candidates that we may seek to develop or commercialize in the future. Potential competitors may include major pharmaceutical companies, specialty pharmaceutical companies, biotechnology companies, academic institutions, government agencies and other public and private research organizations that conduct research, seek patent protection and establish collaborative arrangements for research, development, manufacturing and commercialization. There are a number of large pharmaceutical and biotechnology companies that currently market and sell products or are pursuing the development of products for the treatment of the indications for which we are developing our product or our product candidates, such as PK deficiency, thalassemia, SCD, LR MDS, PKU, and PV. For example, Merck and Bristol-Myers Squibb Company, or BMS, are marketing a therapy to treat beta thalassemia and LR MDS, and are conducting clinical trials for alpha thalassemia and LR MDS patients that are erythropoiesis-stimulating agent naïve and non-transfusion dependent; Geron Corporation has an FDA approved treatment for adults with LR MDS with transfusion-dependent anemia; Halia is developing HT-6184 for the treatment of LR-MDS; Takeda Pharmaceutical Company Limited, or Takeda, in collaboration with Keros Therapeutics, Inc., are developing a therapy to treat LR-MDS; Novartis International AG is marketing a therapy and has another molecule in clinical trials to treat SCD; Emmaus Life Sciences is marketing a therapy to treat SCD;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BioMarin Pharmaceutical Inc. is marketing and conducting clinical trials for therapies to treat PKU; PTC has an approved treatment for PKU; Pfizer, CSL Behring, Beam Therapeutics, Inc., and Cellarity, Inc. are conducting clinical trials for therapies in SCD; Novo Nordisk A/S is conducting clinical trials for the treatment of alpha and beta thalassemia and SCD; Sanofi is conducting clinical trials for a therapy in SCD; Genetix Biotherapeutics Inc. (formerly bluebird bio) is marketing a gene therapy to treat transfusion-dependent beta-thalassemia and SCD; Vertex, with CRISPR, is marketing a gene therapy targeting SCD and transfusion-dependent beta-thalassemia; DISC Medicine, Inc., or DISC, is conducting a clinical trial for a potential treatment for SCD; Fulcrum Therapeutics Inc. is conducting clinical trials for a potential treatment for SCD; BMS is conducting clinical trials for a potential treatment for SCD; Otsuka Pharmaceutical Co., Ltd., NGGT Inc., and Maze Therapeutics, Inc. are conducting clinical trials for potential treatments for PKU; PharmaEssentia Corp and Incyte Corporation are marketing therapies to treat PV, and Protagonist Therapeutics in collaboration with Takeda, Ionis in collaboration with Ono/Deciphera, Italfarmaco S.p.A., DISC, Merck, and Silence Therapeutics are developing therapies to treat PV; and a number of other biotechnology companies have product candidates in clinical development in similar indications as ours.</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Competition may include PK activators, gene therapies and other therapeutic modalities that may offer efficacy, safety, convenience or other benefits relative to our products or product candidates. As a result, such therapies may provide significant competition to PYRUKYND®, AQVESME™ and any of our product candidates for which we obtain marketing approval.</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develop products that are more effective, safer, more convenient or less costly than PYRUKYND®, AQVESME™ or any product candidates that we are developing or that would render PYRUKYND®, AQVESME™ or our product candidates obsolete or non-competitive. In addition, our competitors may develop new approaches, tools or methods that could provide them with a competitive advantage in identifying, developing or commercializing potential products. Our competitors may also obtain marketing approval from the FDA or other regulatory authorities for their products more rapidly than we may obtain approval for ours, which could result in our competitors establishing a strong market position before we are able to enter the market.</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resources and expertise in research and development, manufacturing, preclinical testing, conducting clinical trials, obtaining regulatory approvals and globally marketing approved products than we do. Mergers and acquisitions in the pharmaceutical and biotechnology industries may result in even more resources being concentrated among a smaller number of our competitors. Smaller and clinical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or in-licensing technologies complementary to, or necessary for, our programs.</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grant our products, if and when approved, appropriate periods of regulatory exclusivity before approving generic or follow-on versions of our products, the sales of our products could be adversely affected.</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FDA approval of an NDA, the product covered by the application is specified as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support of an ANDA, a generic manufacturer need not conduct clinical trials. Rather, the sponsor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reference-listed drug may be lost to the generic product.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manufacturer may also submit an NDA under section 505(b)(2) of the Federal Food, Drug and Cosmetic Act, or FDCA, that references the FDA’s prior approval of the innovator product or preclinical studies and/or clinical trials that were not conducted by, or for, the sponsor and for which the sponsor has not obtained a right of reference. A 505(b)(2) NDA product, or follow-on-product, may be for a new or improved version of the original reference listed drug.</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may not approve an ANDA or 505(b)(2) NDA until any applicable period of regulatory exclusivity for the reference-listed drug has expired, subject to certain exceptions.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a generic or follow-on manufacturer is somehow able to obtain FDA approval without adherence to the periods of regulatory exclusivity, the competition that our approved products may face from generic and follow-on versions could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negatively impact our future revenue, profitability and cash flows and substantially limit our ability to obtain a return on our investments in those product candidates.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there are patents listed for our drug products in the Orange Book, ANDAs and 505(b)(2) NDAs would be required to include a certification for every Orange Book-listed patent, declaring whether the patent is absent, expired, not challenged, or invalid/not infringed (Paragraph I, II, III, or IV, respectively). We cannot predict which, if any, patents in our current portfolio or patents we may obtain in the future will be eligible for listing in the Orange Book, how any generic or follow-on competitor would address such patents, whether we would sue on any such patents or the outcome of any such suit. For example, on February 17, 2026 a sponsor submitted an ANDA for mitapivat with a Paragraph IV certification listing patents that it intends to challenge, and we have received a notice of such certification. We intend to file suit for infringement in connection with such ANDA filing. We may receive additional notices in the future and may take similar actions with respect to those ANDAs.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or any collaborators could cause us or our collaborators to incur substantial liabilities and could limit commercialization of any medicines that we or they may develop.</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any collaborators face a risk of product liability exposure related to our product candidates in human clinical trials and face an even greater risk as we or they commercially sell any medicines, including PYRUKYND® and AQVESME™. If we or any collaborators cannot successfully defend ourselves or themselves against claims that our product candidates or medicines caused injuries, we or they could incur substantial costs and liabilities. Regardless of merit or eventual outcome, liability claims may also result in, among other things, decreased demand for any product candidates or medicines that we may develop, reputational harm and lost revenue.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any third parties with which we contract, may fail or suffer security breaches, loss of data or other disruptions which could result in a material disruption of our product development programs, compromise sensitive information related to our business or prevent us from accessing critical information, trigger legal obligations, potentially exposing us to liability, competitive or reputational harm or otherwise adversely affecting our business and financial results.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those of third parties with which we contract are vulnerable to damage from computer viruses, worms and other destructive or disruptive software, unauthorized access, natural disasters, terrorism, war and telecommunication and electrical failures. Such systems are also vulnerable to service interruptions or to security breaches from inadvertent or intentional actions by our employees, third-party vendors or business partners, or from cyber incidents by malicious third parties. Cybersecurity incidents are increasing in their frequency, sophistication and intensity, and have become increasingly difficult to detect. Cybersecurity incidents could include the deployment of harmful malware, ransomware, denial-of-service attacks, unauthorized access to or deletion of files, social engineering and other means to affect service reliability and threaten the confidentiality, integrity and availability of information. Cybersecurity incidents also could include phishing attempts or e-mail fraud to cause payments or information to be transmitted to an unintended recipient. Attackers may use artificial intelligence and machine learning to launch more automated, targeted and coordinated attacks against targets. We could be subject to risks caused by misappropriation, misuse, leakage, falsification or intentional or accidental release or loss of information maintained in the information systems and networks of our company, including personal information of our employees.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System failures, accidents, cybersecurity incidents or security breaches could cause interruptions in our operations, and could result in a material disruption of our clinical and commercialization activities and business operations, whether due to a loss of our trade secrets or other proprietary information or other similar disruptions, in addition to possibly requiring substantial expenditures of resources to remedy. For example, the loss of clinical trial data from completed or future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our product research, development and commercialization efforts could be delayed. In addition, we may not have adequate insurance coverage to provide compensation for any losses associated with such events.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material breach of our security or that of our vendors occurs, the market perception of the effectiveness of our security measures could be harmed, and, as a result, we could lose business and our reputation and credibility could be damaged. We could be required to expend significant amounts of money and other resources to repair or replace information systems or networks. Although we develop and maintain processes, systems and controls designed to prevent these events from occurring, and we have a process to assess, identify and manage threats, the development and maintenance of these systems, controls and processes is costly and requires ongoing monitoring and updating as technologies change and efforts to overcome security measures become more sophisticated. Moreover, despite our efforts, the possibility of these events occurring cannot be eliminated entirely. We cannot guarantee that the measures we have taken to date, and actions we may take in the future, will be sufficient to prevent any cyber-attacks or security breaches.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and the EU. The legislative and regulatory landscape for privacy and data protection continues to evolve in jurisdictions worldwide, and we must devote significant resources and funds to understanding and complying with this changing landscape. Our efforts to comply with the evolving data protection rules may be unsuccessful. It is possible that these laws may be interpreted, enforced and applied in a manner that is inconsistent with our practices.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the federal Health Insurance Portability and Accountability Act of 1996, or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FTC has been particularly focused on the unpermitted processing of health and genetic data through its recent enforcement actions and is expanding the types of privacy violations that it interprets to be “unfair” under Section 5 of the FTC Act of 1914, as well as the types of activities it views to trigger the Health Breach Notification Rule. The FTC is also in the process of developing rules related to commercial surveillance and data security that may impact our business.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states have passed comprehensive privacy laws and other states are strongly considering or in the process of enacting such laws. These laws create obligations related to the processing of personal information, as well as special obligations for the processing of “sensitive” data (which includes health data in some cases). In addition, Congress has also been debating passing a federal privacy law, and there are also states that are specifically regulating health information. These laws may impact our business activities, including our identification of research subjects, relationships with business partners and ultimately the marketing and distribution of our products.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also significant privacy and data security laws that apply in Europe and other countries. The collection, use, disclosure, transfer, or other processing of personal data, including personal health data, regarding individuals who are located in the European Economic Area, or EEA, and the processing of personal data that takes place in the EEA, is regulated by the GDPR. The GDPR imposes onerous accountability obligations requiring data controllers and processors to maintain a record of their data processing and policies. While many other countries outside of the EEA loosely follow GDPR as a model, other laws contain different or conflicting provisions.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any of these laws and regulations could result in litigation, regulatory investigations or enforcement actions against us, orders to changes our practices, systems or policies, breaches of our contracts, fines, imprisonment of company officials and public censure, civil or criminal penalties, claims for damages by affected individuals, damage to our reputation and loss of goodwill, any of which could have a material adverse effect on our business, financial condition, results of operations or prospects. Even if we are not determined to have violated these laws, litigation or government investigations into these issues typically require the expenditure of significant resources and generate negative publicity.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a less diversified company.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rare disease business is subject to various risks and uncertainties, including the possibility that we may not be able to successfully commercialize PYRUKYND® and AQVESME™, the possibility that mitapivat is not approved for SCD, the possibility that mitapivat is not approved for thalassemia in additional jurisdictions, the possibility of adverse post-approval, clinical and other developments in respect of PYRUKYND®, AQVESME™, mitapivat, tebapivat or our other product candidates, and unanticipated changes in applicable laws and regulations that may adversely affect the rare disease business.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 more susceptible to changing market conditions, including fluctuations and risks particular to the markets for patients with rare diseases, than a more diversified company, which could adversely affect our business, financial condition and results of operations. Our results of operations, cash flows, working capital and financing requirements may be subject to increased volatility and our ability to fund capital expenditures and investments or satisfy other financial commitments may be diminished.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restrict our operations, require us to relinquish rights to our technologies or product candidates or cause dilution to our stockholders.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including from potential future sales of PYRUKYND® and AQVESME™, we expect to finance our cash needs primarily through cash on hand, potential royalty payments with respect to annual U.S. net sales of vorasidenib in excess of $1.0 billion, or the Retained Earn-Out Rights, and, potentially, collaborations, strategic alliances, licensing arrangements and other nondilutive strategic transactions. In addition, we may pursue opportunistic debt offerings, and equity or equity-linked offerings. We do not have any committed external source of funds other than the potential Retained Earn-Out Rights described above and we cannot be certain we will ever receive any payments as a result of the Retained Earn-Out Rights.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require us to enter into agreements that include covenants limiting or restricting our ability to take specific actions, such as incurring additional debt, selling or licensing our assets, making capital expenditures or declaring dividends.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existing capital is insufficient to fund our operating expenses and capital expenditures, we will need to raise capital, and if we are unable to raise capital when needed, we would be forced to delay, reduce or eliminate our product development programs or commercialization efforts.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incur significant expenses as we continue to advance our ongoing activities. Our estimate as to what extent we expect our existing cash, cash equivalents, and marketable securities to be available to fund our operating expenses and capital expenditures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If we are unable to raise additional funds when needed or on attractive terms, we may be required to delay, limit, reduce or terminate our product development or future commercialization efforts, or grant rights to develop and market product candidates that we would otherwise prefer to develop and market ourselves. Our future capital requirements will depend on many factors, including:</w:t>
      </w:r>
    </w:p>
    <w:p>
      <w:pPr>
        <w:spacing w:after="0" w:line="135"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future revenue received from commercial sales of PYRUKYND®, AQVESME™ or any of our other product candidates for which we may receive marketing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payments, if any, we may receive on account of the Retained Earn-Out Rights;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our ongoing and future commercialization activities, including product manufacturing, sales, marketing and distribution, for PYRUKYND® and AQVESME™ in the approved jurisdictions and indications and for any product candidate for which we may receive approval;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in-licensing or acquiring assets for pipeline growth, including the amount and timing of future milestone and royalty payments payable to Alnylam pursuant to the license agreement;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strategic plans;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delays, disruptions and/or increased costs associated with public health pandemics, global economic and political developments.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historically incurred operating losses. We expect to incur losses in the future and may never achieve or maintain profitability.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history of incurring operating losses. Our net loss for the three months ended March 31, 2026 was $99.1 million and for the three months ended March 31, 2025 was $89.3 million. As of March 31, 2026, we had an accumulated deficit of $660.8 million. We are commercializing PYRUKYND® for the treatment of hemolytic anemia in adults with PK deficiency in the United States. Following the receipt of marketing approval in December 2025, we commercially launched AQVESME™ in the United States in late January 2026.</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our regulatory approvals in the EU, Great Britain, Saudi Arabia and the United Arab Emirates, we provide access to PYRUKYND® to eligible patients through the Avanzanite Agreement and the NewBridge Agreement, as applicable, and on either a free of charge or for charge basis for eligible patients in those jurisdictions and other jurisdictions through a global managed access program. We continue to evaluate other options for the commercialization of PYRUKYND® outside of the United States, including through exploring potential partnership opportunities.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finance our operations primarily through cash on hand, potential royalty payments with respect to the Retained Earn-Out Rights, and, potentially, collaborations, strategic alliances, licensing arrangements and other nondilutive strategic transactions. In addition, we may pursue opportunistic debt offerings, and equity or equity-linked offerings. We expect to continue to incur significant expenses and net losses until such time as we are able to report profitable results. The net losses we incur may fluctuate significantly from quarter to quarter and year to year. We anticipate that we will incur significant expenses if and as we:</w:t>
      </w:r>
    </w:p>
    <w:p>
      <w:pPr>
        <w:spacing w:after="0" w:line="12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PYRUKYND® and AQVESME™ for approved indications in approved jurisdictions;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establish and maintain a sales, marketing and distribution infrastructure to commercialize PYRUKYND®, AQVESME™ and other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clinical trials for our products and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preclinical development of our product candidates and seek to identify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product candidates for clinical development and commercialization;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personnel to support our product research and development and planned future commercialization efforts and our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medicines and technologies.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never achieve or maintain profitability. To become and remain profitable, we must develop and successfully commercialize medicines with significant market potential. This will require us to be successful in a range of challenging activities, including completing preclinical testing and clinical trials of our product candidates, obtaining marketing approval for these product candidates, manufacturing, marketing and selling those medicines for which we may obtain marketing approval and satisfying any post-marketing requirements. If we do achieve profitability, we may not be able to sustain or increase profitability on a quarterly or annual basis. Our failure to become and remain profitable would decrease the value of our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and could impair our ability to raise capital, maintain our research and development efforts, expand our business or continue our operations. A decline in the value of our company could also cause our stockholders to lose all or part of their investment.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Inflation Reduction Act, or IRA, was signed into law in August 2022, and the One Big Beautiful Bill Act, or OBBBA, was signed into law in July 2025. The OBBBA contains numerous tax provisions which may affect our business or financial condition. 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independently conduct clinical trials of any of our product candidates. We rely and expect to continue to rely on third parties, such as CROs, clinical data management organizations, medical institutions and clinical investigators, to conduct our clinical trials. In addition, we currently rely and expect to continue to rely on third parties to conduct some aspects of our research and preclinical testing. Any of these third parties may terminate their engagements with us, some in the event of an uncured material breach and some at any time. If any of our relationships with these third parties terminate, we may not be able to enter into similar arrangements with alternative third-parties or to do so on commercially reasonable terms. Switching or adding additional third parties involves additional cost and requires management time and focus. As a result, delays may occur in our product development activities. Although we seek to carefully manage our relationships with our CROs, we could encounter such challenges or delays that could have a material adverse impact on our business, financial condition and prospects.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reliance on third parties for research and development activities reduces our control over these activities but does not relieve us of our responsibilities. For example, we are responsible for ensuring that each of our studies is conducted in accordance with the applicable protocol and legal, regulatory and scientific standards, and our reliance on third parties does not relieve us of our responsibility to comply with any such standards. We and these third parties are required to comply with current good clinical practices, or cGCP, which are regulations and guidelines enforced by the FDA, the competent authorities of the member states of the EEA and comparable foreign regulatory authorities for all of our product candidates in clinical development. We cannot be certain that a given regulatory authority will determine that any of our clinical trials comply with cGCP regulations. Regulatory authorities enforce these cGCPs through periodic inspections of trial sponsors, principal investigators and trial sites. If we or any of these third parties fail to comply with applicable cGCPs, the clinical data generated in our clinical trials may be deemed unreliable and the FDA, the EMA, or comparable foreign regulatory authorities may require us to perform additional clinical trials before approving our marketing applications. We are exposed to risk of fraud or other misconduct by such third parties.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third parties on whom we rely may also have relationships with other entities, some of which may be our competitors. In addition, these third parties are not our employees, and except for remedies available to us under our agreements with such third parties, we cannot control whether or not they devote sufficient time and resources to our ongoing clinical, nonclinical, and preclinical programs.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or obligations or meet expected deadlines, or if they need to be replaced or if the quality or accuracy of the clinical data they obtain is compromised, our clinical trials may be extended, delayed or terminated and we may not be able to obtain, or may be delayed in obtaining, marketing approvals for our product candidates and will not be able to, or may be delayed in our efforts to successfully commercialize our medicines.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either we or any third parties on which we rely are adversely impacted by geopolitical events, delays may occur in our product development activities, which delays could have a material adverse impact on our business, financial condition and prospects.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and clinical testing and for commercialization.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manufacturing or supply chain-related facilities. We currently rely, and expect to continue to rely, on third-party manufacturers for the materials and manufacture of our product candidates for preclinical and clinical testing and for commercial supply of PYRUKYND®, AQVESME™ and any product candidate for which we obtain marketing approval.</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entered into long-term supply agreements for commercial supply of PYRUKYND® and AQVESME™ with third-party manufacturers, we may be unable to establish similar long-term supply agreements with third-party manufacturers with respect to our other product candidates or to do so on acceptable terms. Even if we are able to establish such agreements, reliance on third-party manufacturers entails additional risks, including: reliance on the third party for regulatory compliance, quality assurance, environmental and safety and pharmacovigilance reporting; the possible breach of the manufacturing agreement by the third party; and the possible termination or nonrenewal of the agreement by the third party at a time that is costly or inconvenient for us.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cGMPs, regulations or similar regulatory requirements on a global basis. Our failure, or the failure of our third-party manufacturers, to comply with currently applicable regulations, or regulations or specifications to which we become subject in the future,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currently rely on foreign third-party manufacturers and/or CROs, including those in China, and will likely continue to rely on foreign third-party manufacturers and/or CROs in the future. Foreign third-party manufacturers and/or CROs may be subject to U.S. legislation, including sanctions, trade restrictions and other foreign regulatory requirements which could increase the cost or reduce the supply of material or services available to us, delay the procurement or supply of such material or services, or have an adverse effect on our ability to secure significant commitments from governments to purchase our potential therapies.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2025, as part of the National Defense Authorization Act for FY 2026, President Trump signed into law the BIOSECURE Act, which prohibits, subject to limited exceptions, the direct or indirect use of U.S. federal government contract, grant, and loan funds for purchasing biotechnology equipment and services from certain Chinese biotechnology companies of concern, or BCCs. Under the BIOSECURE Act, U.S. government agencies cannot (i) buy or obtain biotechnology equipment or services provided by a BCC, (ii) enter into, extend, or renew a contract with any entity using biotechnology equipment or services provided by a BCC to perform a government contract, or (iii) expend loan or grant funds for biotechnology equipment or services provided by a BCC. Instead of specifying particular Chinese entities as BCCs, the BIOSECURE Act treats any biotechnology companies that have been identified on the so-called 1260H List by the U.S. Department of Defense as Chinese Military Companies Operating in the United States as BCCs. The legislation allows for other biotechnology companies, possibly including WuXi entities, to be added to the federal funding prohibitions at a later time. On February 13, 2026, the Department of Defense published an updated list, which included WuXi, but then abruptly withdrew the list. The implications of this action remain unclear.</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either we or any third parties on which we rely are adversely impacted by restrictions resulting from the emergence of public health epidemics, by rising global energy costs or energy shortages or rationing and/or geopolitical events, our supply chain may be disrupted, limiting our ability to manufacture our product candidates for our clinical trials and research and development operations and our product for commercialization.</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preclinical development, clinical development, marketing approval or our commercialization efforts. Due to the volatility of the supply networks globally, we have obtained regulatory approval for redundant supply of raw materials for PYRUKYND® and AQVESME™, and have an ongoing program to monitor supply, including establishing safety stocks. While we maintain a broad safety stock of drug substance and drug product, including redundant supply of drug substance in the United States, we do not currently have arrangements in place for redundant supply of drug substance outside the United States and drug product globally. If any one of our current contract manufacturers cannot perform as agreed, we may be required to replace that manufacturer. Although we believe that there are several potential alternative manufacturers who could manufacture our product or our product candidates, we may incur added costs and delays in identifying and qualifying any such replacement.</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medicines may adversely affect our future profit margins and our ability to commercialize any medicines that receive marketing approval on a timely and competitive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collaborations with third parties for the development and commercialization of our product candidates. If those collaborations are not successful, we may not be able to capitalize on the market potential of these product candidates.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collaborations for the development and commercialization of our product candidates with large and mid-size pharmaceutical companies and biotechnology companies or with other third parties. We face significant competition in seeking appropriate collaborators. Collaborations are complex and time-consuming to negotiate and document. Whether we reach a definitive agreement for a collaboration will depend, among other things, upon our assessment of the collaborator’s resources and expertise, the terms and conditions of the proposed collaboration and the proposed collaborator’s evaluation of a number of factors. We may not be able to negotiate collaborations on a timely basis, on acceptable terms, or at all. Collaborators may have rights that restrict us from entering into future agreements on certain terms with potential collaborators.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enter into any such arrangements with collaborators, we will likely have limited control over the amount and timing of resources that our collaborators dedicate to the development or commercialization of our product candidates. 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 Collaborators may delay clinical trials, provide insufficient funding for a clinical trial program, stop a clinical trial or abandon a product candidate, repeat or conduct new clinical trials or require a new formulation of a product candidate for clinical testing, which may result in a need for additional capital to pursue further development or commercialization of the applicable product candidate. Collaborators may not properly maintain or defend our intellectual property rights or may use our proprietary information in such a way as to invite litigation that could jeopardize or invalidate our proprietary information or expose us to potential litigation. Disputes may arise between the collaborators and us that result in the delay or termination of the research, development or commercialization of our medicines or product candidates or that result in costly litigation or arbitration that diverts management attention and resources. In addition, our ability to enter into arrangements with collaborators in specific regions, such as the Middle East, may be affected by localized geopolitical unrest or military conflict, such as the current armed conflict in the region.</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a third-party service provider to assist in the administration of the REMS for AQVESME™. If we or a third-party service provider acting on our behalf fail to effectively implement, monitor, report and administer the REMS for our products, we may be required to, among other things, modify such REMS, and we may be subject to FDA enforcement actions, such as seizure of the product, injunction against distribution, or to civil monetary penalties. If the FDA considers the conduct especially egregious, the FDA can refer the matter to the Department of Justice to pursue civil remedies, criminal prosecution or both. Additionally, if the third-party service provider fails to effectively administer the REMS, we could experience a material disruption to our commercial operations.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do not have direct experience commercializing products outside of the United States and such efforts may depend on our ability to find a suitable distribution partner. For example, we have entered into the NewBridge Agreement and the Avanzanite Agreement for the commercialization of PYRUKYND® in certain jurisdictions outside of the United States. Pursuant to the NewBridge Agreement and the Avanzanite Agreement, we rely on our partners, in the GCC and in the EU and U.K., respectively, to assist with regulatory filings, prepare applications for pricing and reimbursement approval, negotiate with payors, conduct medical affairs activities and import, distribute, promote and commercialize our products in accordance with applicable law. If our distribution partners do not fulfill their obligations under these arrangements, or if they experience a change in strategic focus or available funding, our ability to generate revenue outside of the United States could be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or trade secret protection for our medicines and technology, or if the scope of the patent protection obtained is not sufficiently broad, our competitors could develop and commercialize medicines and technology similar or identical to ours, and our ability to successfully commercialize our medicines and technology may be adversely affected.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medicines and technology. We seek to protect our proprietary position by filing patent applications in the United States and abroad related to our novel technologies and medicines that are important to our business. We do not yet have issued patents for all our most advanced product candidates in all markets in which we intend to commercialize but we continue to actively pursue patent protection for our assets around the world.</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patent prosecution process is costly and time-consuming, and we may not be able to file and prosecute all necessary or desirable patent applications at a reasonable cost or in a timely manner. It is also possible that we will fail to identify and/or file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 applications on every aspect of our research and development output that is or may be eligible for patent protection. Although we enter into non-disclosure and confidentiality agreements with parties who may have access to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There is also the possibility that loss or theft of data or records may jeopardize the ability to seek patent protection or impede the progress or drafting of patent applications.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licensed patent rights, and in the future may license additional patent rights, from third parties. Such licenses may be accompanied by milestone and/or royalty payment obligations. These licensed patent rights may be valuable to our business, and we may not have the right to control the preparation, filing and prosecution of patent applications, or to maintain the patents, covering technology or medicines underlying such licenses. We cannot be certain that these patents and applications will be prosecuted and enforced in a manner consistent with the best interests of our business. If any such licensors fail to maintain such patents, or lose rights to those patents, the rights we have licensed may be reduced or eliminated and our right to develop and commercialize any of our products that are the subject of such licensed rights could be adversely affected. In addition to the foregoing, the risks associated with patent rights that we license from third parties also apply to patent rights we own.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medicines or that effectively prevent others from commercializing competitive technologies and medicines. 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licensed patents or pending patent applications, or that we were the first to file for patent protection of such inventions.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United States maintains a first inventor to file system in which, assuming the other requirements for patentability are met, the first inventor to file a patent application will be entitled to the patent. We may be subject to a third-party pre-issuance submission of prior art to the U.S. Patent and Trademark Office, or USPTO, or become involved in opposition, derivation, revocation, reexamination, post-grant and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medicines without infringing third-party patent rights.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patent applications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non-infringing manner.</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the patent or in one or more patent claims being narrowed or invalidated, which could limit our ability to stop others from using or commercializing similar or identical technology and products, or limit the duration of the patent protection of our technology and medicines. Given the significant amount of time required for the discovery, development, preclinical and clinical testing and regulatory review and approval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In such circumstances we would be relying primarily on regulatory or marketing exclusivity to exclude others from commercializing a generic version of our products.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Competitors may infringe our patents and other intellectual property rights. To counter infringement or unauthorized use, we may be required to file infringement claims, which can be expensive, time consuming and have uncertain outcomes. For example, we may file patent infringement suits against any company that files an ANDA containing a Paragraph IV patent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certification for our products. An ANDA containing a Paragraph IV certification for mitapivat was submitted on February 17, 2026. We have received notice of such certification and we intend to file a timely infringement suit. We may receive additional notices of paragraph IV certifications in the future and we may take similar actions with respect to those ANDAs.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or our collaborators are infringing their intellectual property rights, the outcome of which would be uncertain and could have a material adverse effect on the success of our business.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Our commercial success depends upon our ability and the ability of our collaborators to develop, manufacture, market and sell our product and product candidates and use our proprietary technologies without infringing the proprietary rights and intellectual property of third parties. We have in the past, are and may in the future become party to, or threatened with, adversarial proceedings or litigation regarding intellectual property rights with respect to our medicines and technology, including opposition, derivation, revocation, reexamination, post-grant and inter partes review or interference proceedings before the USPTO or other patent offices around the world. For example, two of the European patents in our mitapivat portfolio, neither being the primary compound patent, have been challenged in opposition proceedings. The revocation of either of these European patents could potentially allow additional competitor drugs, if approved, to enter the European marketplace earlier than anticipated. After separate oral proceedings, both European patents were upheld by the European Opposition Division in written decisions in November 2025 and January 2026, respectively. These decisions have been appealed by the opponents.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patents that may be granted in the future. If we or one of our collaborators are found to infringe a third party’s intellectual property rights, we or they could be required to obtain a license from such third party to continue developing and marketing our medicines and technology. However, we or our collaborators may not be able to obtain any required license on commercially reasonable terms or at all. Even if we or our collaborators were able to obtain a license, it could be non-exclusive, thereby giving our competitors and other third parties access to the same technologies licensed to us. We or our collaborators could be forced, including by court order, to cease developing and commercializing the infringing technology or medicine. In addition, we or our collaborators could be found liable for monetary damages. A finding of infringement could prevent us or our collaborators from commercializing our product and product candidates or force us to cease some of our business operations, which could materially harm our business. Claims that we or our collaborators have misappropriated the confidential information or trade secrets of third parties could have a similar negative impact on our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organization.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confidential information related to our proprietary platforms and technology, our business and competitive position could be harmed.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medicines, we also rely on maintaining the confidentiality of unpatented know-how, technology and other proprietary information, to maintain our competitive position. For example, we consider the confidential information and know-how related to our cellular metabolism technology platform to be our primary intellectual property assets in this space. Unpatented proprietary technical information and know-how can be difficult to protect.</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seek to protect this proprietary technical information and know-how,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through use of generative artificial intelligence technologies), and we may not be able to obtain adequate remedies for such breaches. Enforcing a claim that a party illegally disclosed or misappropriated proprietary information is difficult, expensive and time-consuming, and the outcome is unpredictable. If any of our proprietary technical information and know-how were to be lawfully obtained or independently developed by a competitor or other third party, we would have no right to prevent them from using that technology or information to compete with us. Moreover, we anticipate that with respect to this platform, at least some of this technical information and know-how will, over time, be disseminated within the industry through independent development, the publication of journal articles describing the methodology, and the movement of personnel skilled in the art from academic to industry scientific positions.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marketing approval process is expensive, time-consuming and uncertain, and may prevent us from obtaining approvals for the commercialization of some or all of our product candidates. If we or our collaborators are not able to obtain, or if there are delays in obtaining, required regulatory approvals, we or they will not be able to commercialize, or will be delayed in commercializing, our product candidates, and our ability to generate revenue will be materially impaired.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 keeping, labeling, storage, approval, advertising, promotion, sale and distribution, export and import, are subject to comprehensive regulation by the FDA and other regulatory agencies in the United States and by the EMA and comparable regulatory authorities in other countries.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varying interpretations of the data obtained from preclinical and clinical testing could delay, limit or prevent marketing approval of a product candidate. Any marketing approval we or our collaborators ultimately obtain may be limited or subject to restrictions or post-approval commitments that render the approved medicine not commercially viable.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EMA and other foreign regulatory authorities have substantial discretion in the approval process. Accordingly, it is possible that the FDA or EMA may refuse to accept for substantive review any NDA, sNDA or MAA that we submit for our product candidates, or may conclude after review of our data that our marketing application is insufficient to obtain marketing approval of our product candidates. The applicable regulator may require that we conduct additional clinical trials, preclinical studies or manufacturing validation studies and submit that data before reconsidering our applications. Depending on the extent of these or any other FDA- or EMA-required trials or studies, approval of any marketing applications that we submit may be delayed by several years, or may require us to expend more resources than we planned. It is also possible that additional trials or studies, if performed and completed, may not be considered sufficient by the FDA or EMA to approve any marketing applications. For example, to mitigate the risk of hepatocellular injury, AQVESME™ is available only through the REMS program approved by the FDA. The FDA might require the development and submission of additional REMS for our products or modification of existing REMS.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be successful in obtaining FDA or EMA approval of our product candidates on a timely basis, or ever. We have limited experience in filing and supporting the applications necessary to gain marketing approvals and expect to rely on third-party CROs to assist us in this process.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recent and potential future courts decisions and administrative law cases may result in additional legal challenges to regulations and guidance issued by federal regulatory agencies, including the FDA and Centers for Medicare &amp; Medicaid Services, or CMS, that we have relied on and intend to rely on in the future. Any such challenges, if successful, could have a material impact on our business. In addition to potential changes to regulations and agency guidance as a result of legal challenges, these decisions may result in increased regulatory uncertainty and delays in and other impacts to the agency rulemaking process, any of which could adversely impact our business and operations.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ability to develop and market new drug products may be impacted based on current or future litigation in the federal court system challenging the FDA’s approval of other companies' drugs. Depending on the outcome of this type of litigation, our ability to develop new drug product candidates and to maintain approval of existing drug products could be at risk and our efforts to develop and market new drug products could be delayed, undermined or subject to protracted litigation.</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or our collaborators experience delays in obtaining approval or if we or they fail to obtain approval of our product candidates, the commercial prospects for our product candidates may be harmed and our ability to generate revenue will be materially impaired.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medicines from being marketed in such jurisdictions and any of our medicines that are approved for marketing in such jurisdictions will be subject to risk associated with foreign operations.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2024, we announced that we submitted an MAA to the EMA for PYRUKYND® for the treatment of adult patients with non-transfusion dependent and transfusion-dependent alpha- or beta-thalassemia. In October 2025, we announced that the CHMP of the EMA adopted a positive opinion for the new indication for PYRUKYND® in adults for the treatment of anemia associated with transfusion-dependent and non-transfusion-dependent alpha- or beta-thalassemia. The European Commission is now reviewing the CHMP’s opinion, with the final decision expected in the first half of 2026. In order to market and sell our medicines in the EU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foreign countries, a product must be approved for reimbursement before the product can be approved for sale in that country. We or our collaborators may not obtain approvals from regulatory authorities outside the United States on a timely basis, if at all. Moreover, approval by the FDA does not ensure approval by regulatory authorities in other countries or jurisdictions, and approval by one regulatory authority outside the United States does not ensure approval by regulatory authorities in other countries or jurisdictions or by the FDA. Although we have received marketing authorization for PYRUKYND® for the treatment of adults with PK deficiency in the EU and Great Britain and for PYRUKYND® for the treatment of adult patients with non-transfusion dependent and transfusion-dependent alpha- or beta-thalassemia in Saudi Arabia and the United Arab Emirates, we may not be able to file for additional marketing approvals and may not receive necessary approvals to commercialize our medicines in any other foreign market.</w:t>
      </w:r>
    </w:p>
    <w:p>
      <w:pPr>
        <w:spacing w:after="0" w:line="1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in December 2025, the European Parliament and European Council reached a provisional political agreement on the revision 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 pharmaceutical legislation, which is expected to be adopted by mid-2026. If the legislation is finalized in line with the provisional political agreement, it will have a significant impact on the EU pharmaceutical industry, which could impact our business.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United States, including tariffs and trade barriers;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workforce uncertainty in countries where labor unrest is more common than in the United States. In addition, we do not have direct experience commercializing products outside of the United States and such efforts may depend on our ability to find a suitable distribution partner. For example, we have entered into the NewBridge Agreement and the Avanzanite Agreement for the commercialization of PYRUKYND® in certain jurisdictions outside of the United States.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designation, priority review designation, PRIME designation or other expedited review designations or vouchers may not actually lead to a faster development or regulatory review or approval process, nor does it ensure approval of the product candidate.</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priority review designation and/or other expedited review designations or vouchers for our product candidates. The FDA has broad discretion on whether to grant fast track designation, priority review designation and/or other expedited review designations or vouchers for a product candidate, so even if we believe a particular product candidate is eligible for such designation or status, the FDA may decide not to grant it. Even if our product candidates receive fast track designation, priority review designation, and/or other expedited designations or vouchers, we may not experience a faster development process, review or approval, if at all, compared to conventional FDA procedures. The FDA may withdraw fast track designation if it believes that the designation is no longer supported by data from our clinical development program.</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seek PRIME designation in the EU for our product candidates. The benefits of a PRIME designation include, among other things, the potential to qualify product for accelerated review. Even if our product candidates receive PRIME designation, we may not experience a faster development process, review or approval compared to conventional EMA procedures and it does not ensure or increase the likelihood of the EMA’s grant of a marketing authorization.</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any collaborators, may not be able to obtain or maintain orphan drug designation or orphan drug exclusivity for our drug candidates and, even if we do, that exclusivity may not prevent the FDA or the EMA from approving competing drugs.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 may designate drugs and biologics for relatively small patient populations as orphan drugs. Generally, if a product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product for that time period, except in certain limited circumstances. Orphan drug exclusivity may be lost if the FDA or EMA determines that the request for designation was materially defective or if the manufacturer is unable to assure sufficient quantity of the product to meet the needs of patients with the rare disease or condition. Moreover, even after an orphan drug is approved, the FDA can subsequently approve a different product for the same condition if the FDA concludes that the later product is clinically superior in that it is shown to be safer, more effective or makes a major contribution to patient care.</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know if, when, or how the FDA or Congress may reevaluate or change the orphan drug regulations and policies in the future, and it is uncertain how any changes might affect our business or if we will be adversely impacted.</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or product candidate for which we or our collaborators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product or product candidate for which we or our collaborators obtain marketing approval,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 keeping.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 including the requirement to implement a REMS, such as the required REMS for AQVESME™.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and other agencies, including the Department of Justice, or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market our medicines for uses other than their respective approved indications, we may be subject to enforcement actions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 which violations may result in the imposition of significant administrative, civil and criminal penalties. We will need to carefully navigate the FDA’s regulations and this guidance to ensure compliance with the FDA’s provisions governing promotion of our products.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 development program and develop and secure approval of our product candidates in a timely manner, which would negatively impact 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oversight and review activities by the FDA and comparable foreign regulatory authorities are disrupted due to funding cuts, personnel losses, reductions in force, regulatory reform or government shutdown, then our ability to develop and/or secure timely approval of our product candidates could be impacted in a negative manner. For example, the recent loss of FDA leadership and personnel, including due to significant reduction in force, could lead to disruptions and delays in FDA guidance, review and approval of our product candidates.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while the FDA’s review of marketing applications and other activities for new drugs and biologics is largely funded through the user fee program established under PDUFA, it remains unclear how the administration’s RIF and budget cuts will impact this program and the ability of the FDA to provide guidance and review our product candidates in a timely manner.</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substantial uncertainty as to how regulatory reform measures being implemented by the Trump administration across the government will impact the FDA and other federal agencies with jurisdiction over our activities. For example, President Trump has issued a number of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Accordingly, if any of the foregoing developments and others impact the ability of the FDA to provide us with guidance or delay the FDA’s review and processing of our regulatory submissions, our business would be negatively impacted.</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are subject to applicable anti-kickback, fraud and abuse and other healthcare laws and regulations, which, in the event of a violation, could expose us to criminal sanctions, civil penalties, contractual damages, reputational harm and diminished future profits and future earnings.</w:t>
      </w:r>
    </w:p>
    <w:p>
      <w:pPr>
        <w:spacing w:after="0" w:line="1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Healthcare providers, physicians and third-party payors will play a primary role in the recommendation and prescription of PYRUKYND®, AQVESME™ and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PYRUKYND®, AQVESME™ and any other medicines for which we obtain marketing approval. Such laws and regulations include the federal Anti-Kickback Statue; the federal False Claims Act; HIPAA, as amended by the Health Information Technology for Economic and Clinical Health Act; the federal Physician Payments Sunshine Act; and analogous state and foreign laws and regulations.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of our operations.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member states of the EU, or the EU Member States, such as the U.K. Bribery Act 2010. Infringement of these laws could result in substantial fines and imprisonment.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PYRUKYND®, AQVESME™ or any product candidate that we commercialize may become subject to unfavorable pricing regulations and third-party reimbursement practices, which would harm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built our commercial infrastructure to support the commercialization of PYRUKYND® in adult PK deficiency in the United States, and have expanded this infrastructure to support the commercial launch of AQVESME™ for the treatment of anemia in adults with non-transfusion dependent and transfusion-dependent alpha- or beta-thalassemia in the United States. The commercial success of PYRUKYND®, AQVESME™ or of any of our product candidates will depend substantially, both domestically and abroad, on the extent to which the costs of our product candidates will be paid by third-party payors, including government health administration authorities and private health coverage insurers. If coverage and reimbursement are not available, or reimbursement is available only to limited levels, we, or any collaborators, may not be able to successfully commercialize PYRUKYND®, AQVESME™ or our product candidates. Even if coverage is provided, the approved reimbursement amount may not be high enough to allow us, or any future collaborators, to establish or maintain pricing sufficient to realize a sufficient return on our or their investments.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requires us to provide scientific and clinical support for the use of our products to each payor separately, with no assurance that coverage and adequate reimbursement will be applied consistently or obtained in the first instance.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we, or any collaborators, might obtain marketing approval for a product in a particular country, but then be subject to price regulations that delay commercial launch of the product, possibly for lengthy time periods, which may negatively impact the revenue we are able to generate from the sale of the product in that country. Adverse pricing limitations may hinder our ability or the ability of any collaborators to recoup our or their investment in one or more product candidates, even if our product candidates obtain marketing approval.</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Third-party payors decide which medications they will cover and establish reimbursement levels. The healthcare industry is acutely focused on cost containment, both in the United States and elsewhere. Government authorities and other third-party payors have attempted to control costs by limiting coverage and the amount of reimbursement for particular medications, which could affect our ability or that of any collaborators to sell PYRUKYND®, AQVESME™ or our product candidates profitably. These payors may not view our products as cost-effective, and coverage and reimbursement may not be available to our customers, or those of any collaborators, or may not be sufficient to allow our products to be marketed on a competitive basis. Cost-control initiatives could cause us, or any collaborators, to decrease the price we, or they, might establish for products, which could result in lower than anticipated product revenue. If the prices for our products decrease or if governmental and other third-party payors do not provide coverage or adequate reimbursement, our prospects for revenue and profitability will suffer.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cannot be sure that coverage will be available for PYRUKYND®, AQVESME™ or any product candidate that we, or any collaborator, may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PYRUKYND®, AQVESME™ or any of our product candidates for which we, or any collaborator, may obtain marketing approval could significantly harm our operating results, our ability to raise capital needed to commercialize products and our overall financial condition.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may increase the difficulty and cost for us and any collaborators to commercialize our drug candidates.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any collaborators, to profitably sell PYRUKYND®, AQVESME™ or any other product candidate for which we, or they, obtain marketing approval. We expect that current laws, as well as other healthcare reform measures that may be adopted in the future, may result in more rigorous coverage criteria and additional downward pressure on the price that we, or any collaborators, may receive for any approved products. If reimbursement of our products is unavailable or limited in scope, our business could be materially harmed.</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2011, the Budget Control Act of 2011, among other things, created measures for spending reductions by Congress. This legislation resulted in aggregate reductions to Medicare payments to providers of up to 2% per fiscal year, which will remain in effect for six months into fiscal year 2032.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enactment of the Patient Protection and Affordable Care Act, as amended by the Health Care and Education Affordability Reconciliation Act, or collectively, the ACA, there have been, and continue to be, numerous legal challenges and Congressional actions to repeal and replace provisions of the law. President Trump recently revoked numerous executive orders issued by President Biden, including at least two executive orders which where were designed to further implement the ACA. Litigation and legislation over the ACA are likely to continue, with unpredictable and uncertain results.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drug products, if and when approved, and/or the sustainability of those prices.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2025, President Trump issued an executive order which directs HHS to take steps to reduce the prices of pharmaceutical products and repeats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executive order relate to the 340B program.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 In May 2025, President Trump issued an additional executive order calling on pharmaceutical manufacturers to voluntarily reduce the prices of medicines in the United States. The executive order directs the Secretary of HHS to communicate MFN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Subsequently, HHS indicated that the proposed MFN pricing will apply only to brand products without generic or biosimilar competition and the referenced foreign countries will include only those in which the branded product similarly does not have generic or biosimilar competition. HHS also indicated that the MFN target price will be the lowest price in a country that is 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Organization for Economic Co-operation and Development, or OECD, with a gross domestic product per capita of at least 60% of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domestic product per capita. The implications of these actions remain unclear and our business could be negatively impacted.</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CMS, through its Center for Medicare and Medicaid Innovation, has proposed two five-year pilot programs to implement a “reference pricing” regime for drugs paid for under Medicare for 25% of covered beneficiaries. The programs are referred to as the Global Benchmark for Efficient Drug Pricing Model for Medicare Part B drugs, referred to as GLOBE, which is proposed to go into effect beginning October 1, 2026, and the Guarding U.S. Medicare Against Rising Drug Costs for Medicare Part D drugs, referred to as GUARD, which is proposed to go into effect beginning January 1, 2027. Under the proposed pilot programs, a manufacturer would owe rebates to Medicare if prices for their drugs exceeded the prices paid by other economically comparable reference countries, defined in the proposed regulations as OECD countries with a gross domestic product of $400 billion and a per capita GDP that is at least 60% of the U.S. per capita gross domestic product (an initial list of 19 reference countries is included in the proposed rule).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or product candidates or additional pricing pressures.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 candidates, if approved. In markets outside of the United States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If pricing is set at unsatisfactory levels, our business could be materially harmed.</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export control, import, sanctions, anti-corruption and anti-money laundering laws with respect to our operations, and non-compliance with such laws can subject us to criminal and/or civil liability and harm our business.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the USA PATRIOT Act, and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have entered into distribution agreements with third parties for the commercialization of PYRUKYND® in certain jurisdictions outside of the United States.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Noncompliance with such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and uncertainty surrounding U.S. trade policy could have a material adverse impact on our business, financial condition and results of operations.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spring 2025, the Trump administration initiated a series of tariff-related actions against U.S. trading partners. On April 2, 2025, the President issued an executive order announcing a “baseline” reciprocal tariff of 10% on all U.S. trading partners effective April 5, 2025, and higher individualized reciprocal tariffs on 57 countries (with certain product exemptions for pharmaceutical-related products, among others). Previously, the administration had imposed a 25% tariff on Canada and Mexico for goods not covered by the United States-Mexico-Canada Agreement and tariffs due to drug trafficking equaling 20% on imports from China. In response, several countries threatened retaliatory measures, including Canada and China, which then imposed retaliatory tariffs. Prior to when the country-specific reciprocal tariffs were scheduled to take effect, the administration delayed the effective date of such tariffs for all countries except China. Several countries, including the United Kingdom, Japan, South Korea, among others, and the European Union, have reached deals with the U.S. that include reduced tariff rates and other measures. President Trump then issued an executive order detailing new reciprocal tariff rates for individual countries that took effect on August 7, 2025. Deals with the European Union, Japan, South Korea, Switzerland (and Liechtenstein), the United Kingdom and others cap pharmaceutical tariffs at 15%. The U.S. and China reached a tentative agreement that resulted in the suspension of the higher reciprocal tariffs on China until November 10, 2026.</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reciprocal tariffs and the drug trafficking tariffs were imposed pursuant to the International Emergency Economic Powers Act, or the IEEPA. These tariffs were found to be unconstitutional by multiple federal courts in the spring and summer of 2025. On February 20, 2026, the U.S. Supreme Court held that the IEEPA does not authorize the U.S. President to impose tariffs, invalidating both the reciprocal tariffs and the drug trafficking tariffs. Shortly thereafter, President Trump issued a new executive order revoking the IEEPA tariffs and Customs and Border Protection ceased collecting the tariffs on February 24, 2026. At the same time, however, the Trump Administration imposed a new 10% global tariff under Section 122 of the Trade Act of 1974, effective February 24, 2026. Pursuant to the statute, absent an extension by Congress, these tariffs will expire in 150 days on July 24, 2026. For those countries that have concluded trade deals with the United States, the tariff rates agreed to, including with regard to pharmaceuticals and pharmaceutical ingredients, have now reverted to 10% until July 24, 2026. Like the IEEPA tariffs, pharmaceuticals and pharmaceutical ingredients are exempt from the Section 122 tariffs along with a list of other products. The Trump Administration has announced that it also plans to initiate new investigations on “most major trading partners” under Section 301 of the same act, which will likely lead to additional tariffs.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Sustained uncertainty about, or the further escalation of, trade and political tensions between the United States and China could result in a disadvantageous research and manufacturing environment in China, particularly for U.S. based companies, including retaliatory restrictions that hinder or potentially inhibit our ability to rely on contract development and manufacturing organizations and other service providers that operate in China.</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Separately, in April 2025, the U.S. Department of Commerce announced an investigation under Section 232 of the Trade Expansion Act of 1962 into the imports of pharmaceuticals and pharmaceutical ingredients, including finished drug products, medical countermeasures, critical inputs such as active pharmaceutical ingredients, and key starting materials, and derivative products of those items. In September 2025, via a post on Truth Social, the President announced that, beginning October 1, 2025, all branded or patented drugs imported in the U.S. would face a 100% tariff. The President indicated that the tariffs could be avoided by building pharmaceutical manufacturing facilities in the U.S. Thereafter, the President delayed the October 1st effective date of the tariffs and announced that the administration had “begun preparing” tariffs on manufacturers that do not build in the U.S. or enter into a most-favored-nation drug pricing agreement with the administration. A host of other U.S. tariff actions remain possible, including an additional 25% tariff on products from countries that do business with Iran or Cuba.</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CREATES Act exposes us to possible litigation and damages by competitors who may claim that we are not providing sufficient quantities of our approved products on commercially reasonable, market-based terms for testing in support of their ANDAs and 505(b)(2) applications.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Creating and Restoring Equal Access to Equivalent Samples Act of 2019, or the CREATES Act, authorizes sponsors of ANDAs and 505(b)(2) applications to file lawsuits against companies holding NDAs that decline to provide sufficient quantities of an approved reference drug on commercially reasonable, market-based terms, subject to certain exemptions.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sponsor were to bring an action under the statute and prevail in litigation, it is entitled to a court order directing the NDA holder to provide, without delay, sufficient quantities of the applicable product on commercially reasonable, market-based terms, plus reasonable attorney fees and costs. Additionally, the statutory provisions authorize a federal court to award the sponsor an amount “sufficient to deter” the NDA holder from refusing to provide sufficient product quantities on commercially reasonable, market-based terms if the court finds, by a preponderance of the evidence, that the NDA holder did not have a legitimate business justification to delay providing the product or failed to comply with the court’s order.</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intend to fully comply with the terms of these statutory provisions, we are still exposed to potential litigation and damages by competitors who may claim that we are not complying. Such litigation would subject us to additional costs, damages and reputational harm, which could lead to lower revenues. The CREATES Act may enable generic competition with PYRUKYND®, AQVESME™ and any of our product candidates, if approved, which could impact our ability to maximize product revenue.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key executives and scientific leadership and to attract, retain and motivate qualified personnel.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highly dependent on the principal members of our management and scientific teams, each of whom is employed “at will,” meaning we or they may terminate the employment relationship at any time. We do not maintain “key person” insurance for any of our executives or other employees. The loss of the services of any of these persons could impede the achievement of our research, development and commercialization objectives. We cannot predict the likelihood, timing or effect of future transitions among our executive leadership.</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regulatory and sales and marketing personnel will also be critical to our success. We may not be able to attract and retain these personnel on acceptable terms given the competition among numerous pharmaceutical and biotechnology companies and universities and research institutions for similar personnel. Our consultants and advisors who assist us in formulating our research and development and commercialization strategy may be employed by employers other than us and may have commitments under consulting or advisory contracts with other entities that may limit their availability to us. Furthermore, our flexible workplace policy which allows employees to work from home may make it difficult for us to maintain our corporate culture.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future we may experience growth in the number of our development, regulatory and sales and marketing personnel. To manage any anticipated future growth, we must continue to implement and improve our managerial, operational and financial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systems, expand our facilities and continue to recruit and train additional qualified personnel. Any inability to manage growth could delay the execution of our business plans or disrupt our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FDA regulations or regulations in other jurisdictions, provide accurate information to the FDA or other regulatory authorities, comply with manufacturing standards we have established, comply with federal and state healthcare fraud and abuse laws and regulations, report financial information or data accurately, disclose unauthorized activities to us, or comply with securities laws. Employee misconduct could also involve the improper use of information obtained in the course of clinical trials or interactions with the FDA or other regulatory authorities, including for illegal insider trading activities,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Other Matters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3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shareholder rights plan, or so-called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22" w:lineRule="exact"/>
        <w:rPr>
          <w:sz w:val="20"/>
          <w:szCs w:val="20"/>
          <w:color w:val="auto"/>
        </w:rPr>
      </w:pPr>
    </w:p>
    <w:p>
      <w:pPr>
        <w:ind w:right="2160"/>
        <w:spacing w:after="0" w:line="4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price of our common stock is volatile, which could result in substantial losses for purchasers of our common stock. </w:t>
      </w:r>
      <w:r>
        <w:rPr>
          <w:rFonts w:ascii="Times New Roman" w:cs="Times New Roman" w:eastAsia="Times New Roman" w:hAnsi="Times New Roman"/>
          <w:sz w:val="18"/>
          <w:szCs w:val="18"/>
          <w:color w:val="auto"/>
        </w:rPr>
        <w:t>The trading price of our common stock has been, and may continue to be, volatile and could be subject to wide fluctuations 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response to various factors, some of which are beyond our control. The stock market in general and the market for biopharmaceutical companies in particular have experienced extreme volatility that has often been unrelated to the operating performance of particular companies. While the full extent of the economic impact of the recent increases in inflation rates (particularly as it relates to clinical- or manufacturing-related costs) may be difficult to assess or predict, such impacts have already caused, and are likely to result in further, significant disruption of global financial markets, which may reduce our ability to access capital either at all or on favorable terms.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influenced by many factors, including:</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launching and commercializing PYRUKYND® and AQVESME™;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in-licensing arrangements,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product candidates, or our competitors’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or our competitors’ products 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products, product candidates or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and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or development timelines;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evaluations or recommendations by securities analysts, that cover our stock or the failure by one or more securities analysts to continue to cover our stock;</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cannot guarantee that an active trading market for our shares will be sustained. An inactive trading market for our common stock may impair our ability to raise capital to continue to fund our operations by selling shares and may impair our ability to acquire other companies or technologies by using our shares as consideration.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also may fluctuate from quarter to quarter and year to year due to a variety of factors, many of which are beyond our control. Accordingly, our stockholders should not rely upon the results of any quarterly or annual periods as indications of future operating performance.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maintain the ability to significantly influence all matters submitted to stockholders for approval.</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our executive officers, directors and principal stockholders, in the aggregate, beneficially owned shares representing a significant percentage of our capital stock. As a result, if these stockholders were to choose to act together, they would be able to significantly influence all matters submitted to our stockholders for approval, as well as our management and affairs. For example, these persons could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Sections 382 and 383 of the Code and corresponding provisions of state law, if a company undergoes an “ownership change,” generally defined as a greater than 50% change (by value) in its equity ownership by certain stockholders over a three-year period, the company’s ability to use its pre-change net operating loss carryforwards and other pre-change tax attributes (such as research tax credits) to offset its post-change taxable income may be limited. Our prior equity offerings and other changes in our stock ownership, some of which are outside of our control, may have resulted or could in the future result in an ownership change. We completed a review of our changes in ownership through December 31, 2025, and determined that we did not have a qualified ownership change since our last review as of December 31, 2024. Future ownership changes under Section 382 may limit the amount of net operating loss and tax credit carryforwards that we could potentially utilize to reduce future tax liabilities.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net operating losses, or other unforeseen reasons, our existing net operating losses could expire or otherwise become unavailable to offset future income tax liabilities. The Tax Act, as amended by the Coronavirus Aid, Relief, and Economic Security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we may be unable to use a material portion of our net operating losses and other tax attributes.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from previous periods or our current expectations due to numerous factors, including as a result of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may result in tax obligations in excess of amounts accrued in our financial statements.</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as a result of operating as a public company, and our management is required to devote substantial time to compliance initiatives and corporate governance practices.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and will continue to incur significant legal, accounting and other expenses as a public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Stockholder activism, the current political environment and the current high level of government intervention and regulatory reform may lead to substantial new regulations. Our management and other personnel devote, and will need to continue to devote, a substantial amount of time to these compliance initiatives. Moreover, these rules and regulations increase our legal and financial compliance costs and make some activities more time-consuming and costly.</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the sole source of gain for our stockholders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significant portion of the compensation of our directors and officers (as defined in Rule 16a-1(f) under the Exchange Act) is in the form of equity awards and, from time to time, directors and officers engage in open-market transactions with respect to the securities acquired pursuant to such equity awards or other of our securities, including to satisfy tax withholding obligations when equity awards vest or are exercised, and for diversification or other personal reasons.</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spacing w:after="0" w:line="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adopted or terminated a Rule 10b5-1 trading arrangement or a non-Rule 10b5-1 trading arrangement (as defined in Item 408(c) of Regulation S-K) during the quarterly period covered by this report.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860" w:type="dxa"/>
            <w:vAlign w:val="bottom"/>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Incorporated by Reference</w:t>
            </w:r>
          </w:p>
        </w:tc>
        <w:tc>
          <w:tcPr>
            <w:tcW w:w="1000" w:type="dxa"/>
            <w:vAlign w:val="bottom"/>
            <w:tcBorders>
              <w:bottom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64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2"/>
                <w:szCs w:val="12"/>
                <w:color w:val="auto"/>
              </w:rPr>
            </w:pPr>
          </w:p>
        </w:tc>
        <w:tc>
          <w:tcPr>
            <w:tcW w:w="434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 Number</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 of Filing</w:t>
            </w:r>
          </w:p>
        </w:tc>
        <w:tc>
          <w:tcPr>
            <w:tcW w:w="1000" w:type="dxa"/>
            <w:vAlign w:val="bottom"/>
          </w:tcPr>
          <w:p>
            <w:pPr>
              <w:jc w:val="center"/>
              <w:ind w:left="39"/>
              <w:spacing w:after="0" w:line="147" w:lineRule="exact"/>
              <w:rPr>
                <w:sz w:val="20"/>
                <w:szCs w:val="20"/>
                <w:color w:val="auto"/>
              </w:rPr>
            </w:pPr>
            <w:r>
              <w:rPr>
                <w:rFonts w:ascii="Arial" w:cs="Arial" w:eastAsia="Arial" w:hAnsi="Arial"/>
                <w:sz w:val="14"/>
                <w:szCs w:val="14"/>
                <w:b w:val="1"/>
                <w:bCs w:val="1"/>
                <w:color w:val="auto"/>
              </w:rPr>
              <w:t>Exhibit</w:t>
            </w:r>
          </w:p>
        </w:tc>
        <w:tc>
          <w:tcPr>
            <w:tcW w:w="860" w:type="dxa"/>
            <w:vAlign w:val="bottom"/>
          </w:tcPr>
          <w:p>
            <w:pPr>
              <w:jc w:val="center"/>
              <w:ind w:left="156"/>
              <w:spacing w:after="0" w:line="147"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0"/>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5"/>
                <w:szCs w:val="15"/>
                <w:color w:val="auto"/>
              </w:rPr>
            </w:pPr>
          </w:p>
        </w:tc>
        <w:tc>
          <w:tcPr>
            <w:tcW w:w="4340" w:type="dxa"/>
            <w:vAlign w:val="bottom"/>
            <w:gridSpan w:val="10"/>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000" w:type="dxa"/>
            <w:vAlign w:val="bottom"/>
          </w:tcPr>
          <w:p>
            <w:pPr>
              <w:jc w:val="center"/>
              <w:ind w:left="19"/>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jc w:val="center"/>
              <w:ind w:left="156"/>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94"/>
        </w:trPr>
        <w:tc>
          <w:tcPr>
            <w:tcW w:w="6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16"/>
                <w:szCs w:val="16"/>
                <w:color w:val="auto"/>
              </w:rPr>
            </w:pPr>
          </w:p>
        </w:tc>
        <w:tc>
          <w:tcPr>
            <w:tcW w:w="4340" w:type="dxa"/>
            <w:vAlign w:val="bottom"/>
            <w:gridSpan w:val="10"/>
          </w:tcPr>
          <w:p>
            <w:pPr>
              <w:spacing w:after="0" w:line="194"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Restated Certificate of Incorporation</w:t>
              </w:r>
            </w:hyperlink>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001-36014</w:t>
            </w:r>
          </w:p>
        </w:tc>
        <w:tc>
          <w:tcPr>
            <w:tcW w:w="16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July 30, 2013</w:t>
            </w:r>
          </w:p>
        </w:tc>
        <w:tc>
          <w:tcPr>
            <w:tcW w:w="1000" w:type="dxa"/>
            <w:vAlign w:val="bottom"/>
          </w:tcPr>
          <w:p>
            <w:pPr>
              <w:jc w:val="center"/>
              <w:ind w:left="19"/>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spacing w:after="0"/>
              <w:rPr>
                <w:sz w:val="18"/>
                <w:szCs w:val="18"/>
                <w:color w:val="auto"/>
              </w:rPr>
            </w:pPr>
          </w:p>
        </w:tc>
        <w:tc>
          <w:tcPr>
            <w:tcW w:w="28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Third Amended and Restated By-Laws</w:t>
              </w:r>
            </w:hyperlink>
          </w:p>
        </w:tc>
        <w:tc>
          <w:tcPr>
            <w:tcW w:w="1520" w:type="dxa"/>
            <w:vAlign w:val="bottom"/>
            <w:gridSpan w:val="7"/>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001-36014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2023</w:t>
            </w:r>
          </w:p>
        </w:tc>
        <w:tc>
          <w:tcPr>
            <w:tcW w:w="100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w w:val="97"/>
              </w:rPr>
              <w:t>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18"/>
                <w:szCs w:val="18"/>
                <w:color w:val="auto"/>
              </w:rPr>
            </w:pP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Amended and Restated Insider Trading Policy</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jc w:val="center"/>
              <w:ind w:left="15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18"/>
                <w:szCs w:val="18"/>
                <w:color w:val="auto"/>
              </w:rPr>
            </w:pPr>
          </w:p>
        </w:tc>
        <w:tc>
          <w:tcPr>
            <w:tcW w:w="3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w:t>
            </w:r>
          </w:p>
        </w:tc>
        <w:tc>
          <w:tcPr>
            <w:tcW w:w="440" w:type="dxa"/>
            <w:vAlign w:val="bottom"/>
            <w:gridSpan w:val="4"/>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vMerge w:val="restart"/>
          </w:tcPr>
          <w:p>
            <w:pPr>
              <w:jc w:val="center"/>
              <w:ind w:left="15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Rule 13a 14(a)/15d 14(a) of the Securities Exchange Act</w:t>
            </w:r>
          </w:p>
        </w:tc>
        <w:tc>
          <w:tcPr>
            <w:tcW w:w="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of 1934, as amended.</w:t>
            </w:r>
          </w:p>
        </w:tc>
        <w:tc>
          <w:tcPr>
            <w:tcW w:w="254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18"/>
                <w:szCs w:val="18"/>
                <w:color w:val="auto"/>
              </w:rPr>
            </w:pP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Rule 13a-14(a)/15d-14(a) of the Securities Exchange</w:t>
            </w:r>
          </w:p>
        </w:tc>
        <w:tc>
          <w:tcPr>
            <w:tcW w:w="500" w:type="dxa"/>
            <w:vAlign w:val="bottom"/>
            <w:gridSpan w:val="5"/>
          </w:tcPr>
          <w:p>
            <w:pPr>
              <w:ind w:left="20"/>
              <w:spacing w:after="0" w:line="156" w:lineRule="exact"/>
              <w:rPr>
                <w:sz w:val="20"/>
                <w:szCs w:val="20"/>
                <w:color w:val="auto"/>
              </w:rPr>
            </w:pPr>
            <w:r>
              <w:rPr>
                <w:rFonts w:ascii="Times New Roman" w:cs="Times New Roman" w:eastAsia="Times New Roman" w:hAnsi="Times New Roman"/>
                <w:sz w:val="18"/>
                <w:szCs w:val="18"/>
                <w:color w:val="0000FF"/>
              </w:rPr>
              <w:t>Act</w:t>
            </w:r>
          </w:p>
        </w:tc>
        <w:tc>
          <w:tcPr>
            <w:tcW w:w="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jc w:val="center"/>
              <w:ind w:left="156"/>
              <w:spacing w:after="0" w:line="15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of 1934, as amended.</w:t>
            </w:r>
          </w:p>
        </w:tc>
        <w:tc>
          <w:tcPr>
            <w:tcW w:w="2580" w:type="dxa"/>
            <w:vAlign w:val="bottom"/>
            <w:tcBorders>
              <w:top w:val="single" w:sz="8" w:color="0000FF"/>
            </w:tcBorders>
            <w:gridSpan w:val="8"/>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8"/>
                <w:szCs w:val="18"/>
                <w:color w:val="auto"/>
              </w:rPr>
            </w:pPr>
          </w:p>
        </w:tc>
        <w:tc>
          <w:tcPr>
            <w:tcW w:w="3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w:t>
            </w:r>
          </w:p>
        </w:tc>
        <w:tc>
          <w:tcPr>
            <w:tcW w:w="440" w:type="dxa"/>
            <w:vAlign w:val="bottom"/>
            <w:gridSpan w:val="4"/>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vMerge w:val="restart"/>
          </w:tcPr>
          <w:p>
            <w:pPr>
              <w:jc w:val="center"/>
              <w:ind w:left="15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18 U.S.C. §1350, as adopted pursuant to Section 906 of</w:t>
            </w:r>
          </w:p>
        </w:tc>
        <w:tc>
          <w:tcPr>
            <w:tcW w:w="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60"/>
        <w:spacing w:after="0"/>
        <w:rPr>
          <w:sz w:val="20"/>
          <w:szCs w:val="20"/>
          <w:color w:val="auto"/>
        </w:rPr>
      </w:pPr>
      <w:r>
        <w:rPr>
          <w:rFonts w:ascii="Times New Roman" w:cs="Times New Roman" w:eastAsia="Times New Roman" w:hAnsi="Times New Roman"/>
          <w:sz w:val="18"/>
          <w:szCs w:val="18"/>
          <w:u w:val="single" w:color="auto"/>
          <w:color w:val="0000FF"/>
        </w:rPr>
        <w:t>the Sarbanes-Oxley Act of 2002.</w:t>
      </w:r>
    </w:p>
    <w:p>
      <w:pPr>
        <w:sectPr>
          <w:pgSz w:w="11900" w:h="16838" w:orient="portrait"/>
          <w:cols w:equalWidth="0" w:num="1">
            <w:col w:w="11160"/>
          </w:cols>
          <w:pgMar w:left="320" w:top="121" w:right="419" w:bottom="1440" w:gutter="0" w:footer="0" w:header="0"/>
        </w:sectPr>
      </w:pPr>
    </w:p>
    <w:tbl>
      <w:tblPr>
        <w:tblLayout w:type="fixed"/>
        <w:tblInd w:w="20" w:type="dxa"/>
        <w:tblCellMar>
          <w:top w:w="0" w:type="dxa"/>
          <w:left w:w="0" w:type="dxa"/>
          <w:bottom w:w="0" w:type="dxa"/>
          <w:right w:w="0" w:type="dxa"/>
        </w:tblCellMar>
      </w:tblP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32.2*</w:t>
            </w:r>
          </w:p>
        </w:tc>
        <w:tc>
          <w:tcPr>
            <w:tcW w:w="41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84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18 U.S.C. §1350, as adopted pursuant to Section 906</w:t>
            </w:r>
          </w:p>
        </w:tc>
        <w:tc>
          <w:tcPr>
            <w:tcW w:w="2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0000FF"/>
              </w:rPr>
              <w:t>of</w:t>
            </w:r>
          </w:p>
        </w:tc>
        <w:tc>
          <w:tcPr>
            <w:tcW w:w="0" w:type="dxa"/>
            <w:vAlign w:val="bottom"/>
          </w:tcPr>
          <w:p>
            <w:pPr>
              <w:spacing w:after="0"/>
              <w:rPr>
                <w:sz w:val="1"/>
                <w:szCs w:val="1"/>
                <w:color w:val="auto"/>
              </w:rPr>
            </w:pPr>
          </w:p>
        </w:tc>
      </w:tr>
      <w:tr>
        <w:trPr>
          <w:trHeight w:val="169"/>
        </w:trPr>
        <w:tc>
          <w:tcPr>
            <w:tcW w:w="114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400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1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XBRL Instance Document - the instance document does</w:t>
            </w: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412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not appear in the Interactive Data File because its XBRL</w:t>
            </w: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20"/>
                <w:szCs w:val="20"/>
                <w:color w:val="auto"/>
              </w:rPr>
            </w:pPr>
            <w:r>
              <w:rPr>
                <w:rFonts w:ascii="Arial" w:cs="Arial" w:eastAsia="Arial" w:hAnsi="Arial"/>
                <w:sz w:val="18"/>
                <w:szCs w:val="18"/>
                <w:color w:val="auto"/>
              </w:rPr>
              <w:t>101.SCH</w:t>
            </w:r>
          </w:p>
        </w:tc>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tags are not embedded within the Inline XBRL document</w:t>
            </w: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0" w:type="dxa"/>
            <w:vAlign w:val="bottom"/>
          </w:tcPr>
          <w:p>
            <w:pPr>
              <w:spacing w:after="0"/>
              <w:rPr>
                <w:sz w:val="1"/>
                <w:szCs w:val="1"/>
                <w:color w:val="auto"/>
              </w:rPr>
            </w:pPr>
          </w:p>
        </w:tc>
      </w:tr>
      <w:tr>
        <w:trPr>
          <w:trHeight w:val="181"/>
        </w:trPr>
        <w:tc>
          <w:tcPr>
            <w:tcW w:w="1140" w:type="dxa"/>
            <w:vAlign w:val="bottom"/>
          </w:tcPr>
          <w:p>
            <w:pPr>
              <w:spacing w:after="0" w:line="181" w:lineRule="exact"/>
              <w:rPr>
                <w:sz w:val="20"/>
                <w:szCs w:val="20"/>
                <w:color w:val="auto"/>
              </w:rPr>
            </w:pPr>
            <w:r>
              <w:rPr>
                <w:rFonts w:ascii="Arial" w:cs="Arial" w:eastAsia="Arial" w:hAnsi="Arial"/>
                <w:sz w:val="18"/>
                <w:szCs w:val="18"/>
                <w:color w:val="auto"/>
              </w:rPr>
              <w:t>101.DEF</w:t>
            </w:r>
          </w:p>
        </w:tc>
        <w:tc>
          <w:tcPr>
            <w:tcW w:w="412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6" w:lineRule="exact"/>
        <w:rPr>
          <w:sz w:val="20"/>
          <w:szCs w:val="20"/>
          <w:color w:val="auto"/>
        </w:rPr>
      </w:pPr>
    </w:p>
    <w:p>
      <w:pPr>
        <w:sectPr>
          <w:pgSz w:w="11900" w:h="16838" w:orient="portrait"/>
          <w:cols w:equalWidth="0" w:num="2">
            <w:col w:w="10020" w:space="720"/>
            <w:col w:w="420"/>
          </w:cols>
          <w:pgMar w:left="320" w:top="121" w:right="41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180"/>
        </w:trPr>
        <w:tc>
          <w:tcPr>
            <w:tcW w:w="940" w:type="dxa"/>
            <w:vAlign w:val="bottom"/>
          </w:tcPr>
          <w:p>
            <w:pPr>
              <w:spacing w:after="0"/>
              <w:rPr>
                <w:sz w:val="15"/>
                <w:szCs w:val="15"/>
                <w:color w:val="auto"/>
              </w:rPr>
            </w:pPr>
          </w:p>
        </w:tc>
        <w:tc>
          <w:tcPr>
            <w:tcW w:w="40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w w:val="99"/>
              </w:rPr>
              <w:t>Cover Page Interactive Data File (formatted as Inline</w:t>
            </w:r>
          </w:p>
        </w:tc>
      </w:tr>
      <w:tr>
        <w:trPr>
          <w:trHeight w:val="24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and contained in Exhibit 101.INS)</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21" w:lineRule="exact"/>
        <w:rPr>
          <w:sz w:val="20"/>
          <w:szCs w:val="20"/>
          <w:color w:val="auto"/>
        </w:rPr>
      </w:pPr>
    </w:p>
    <w:p>
      <w:pPr>
        <w:sectPr>
          <w:pgSz w:w="11900" w:h="16838" w:orient="portrait"/>
          <w:cols w:equalWidth="0" w:num="2">
            <w:col w:w="10020" w:space="720"/>
            <w:col w:w="420"/>
          </w:cols>
          <w:pgMar w:left="320" w:top="121" w:right="419" w:bottom="1440" w:gutter="0" w:footer="0" w:header="0"/>
          <w:type w:val="continuous"/>
        </w:sectPr>
      </w:pPr>
    </w:p>
    <w:p>
      <w:pPr>
        <w:spacing w:after="0" w:line="38" w:lineRule="exact"/>
        <w:rPr>
          <w:sz w:val="20"/>
          <w:szCs w:val="20"/>
          <w:color w:val="auto"/>
        </w:rPr>
      </w:pPr>
    </w:p>
    <w:p>
      <w:pPr>
        <w:ind w:left="420" w:hanging="261"/>
        <w:spacing w:after="0" w:line="250"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AGIOS PHARMACEUTICALS, INC.</w:t>
      </w:r>
    </w:p>
    <w:p>
      <w:pPr>
        <w:spacing w:after="0" w:line="185" w:lineRule="exact"/>
        <w:rPr>
          <w:sz w:val="20"/>
          <w:szCs w:val="20"/>
          <w:color w:val="auto"/>
        </w:rPr>
      </w:pPr>
    </w:p>
    <w:p>
      <w:pPr>
        <w:ind w:left="80"/>
        <w:spacing w:after="0"/>
        <w:tabs>
          <w:tab w:leader="none" w:pos="5780" w:val="left"/>
          <w:tab w:leader="none" w:pos="6560" w:val="left"/>
        </w:tabs>
        <w:rPr>
          <w:sz w:val="20"/>
          <w:szCs w:val="20"/>
          <w:color w:val="auto"/>
        </w:rPr>
      </w:pP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29743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Brian Goff</w:t>
      </w:r>
    </w:p>
    <w:p>
      <w:pPr>
        <w:ind w:left="658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6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65" w:lineRule="exact"/>
        <w:rPr>
          <w:sz w:val="20"/>
          <w:szCs w:val="20"/>
          <w:color w:val="auto"/>
        </w:rPr>
      </w:pPr>
    </w:p>
    <w:p>
      <w:pPr>
        <w:ind w:left="80"/>
        <w:spacing w:after="0"/>
        <w:tabs>
          <w:tab w:leader="none" w:pos="5780" w:val="left"/>
          <w:tab w:leader="none" w:pos="6560" w:val="left"/>
        </w:tabs>
        <w:rPr>
          <w:sz w:val="20"/>
          <w:szCs w:val="20"/>
          <w:color w:val="auto"/>
        </w:rPr>
      </w:pP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Cecilia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29743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Cecilia Jones</w:t>
      </w:r>
    </w:p>
    <w:p>
      <w:pPr>
        <w:ind w:left="658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6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Agios Pharmaceuticals,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Insider Trading Policy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Adopted by the Board of Directors on April 16, 2026</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April 16, 2026</w:t>
      </w:r>
    </w:p>
    <w:p>
      <w:pPr>
        <w:spacing w:after="0" w:line="81"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Background and Purpose</w:t>
      </w:r>
    </w:p>
    <w:p>
      <w:pPr>
        <w:spacing w:after="0" w:line="18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Why Have We Adopted This Policy?</w:t>
      </w:r>
    </w:p>
    <w:p>
      <w:pPr>
        <w:spacing w:after="0" w:line="206"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The federal securities laws prohibit any member of the Board of Directors (a “Director”), officer (as defined in Rule 16a-1(f) under the Securities Exchange Act of 1934, as amended (the “Exchange Act”), an “executive officer”) or employee of Agios Pharmaceuticals, Inc. (together with its subsidiaries, the “Company”) from purchasing or selling Company securities on the basis of material nonpublic information concerning the Company, or from tipping material nonpublic information to others. These laws impose severe sanctions on individuals who violate them. In addition, the Securities and Exchange Commission (the “SEC”)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insider trading policy is being adopted in light of these legal requirements, and with the goal of helping:</w:t>
      </w:r>
    </w:p>
    <w:p>
      <w:pPr>
        <w:spacing w:after="0" w:line="193" w:lineRule="exact"/>
        <w:rPr>
          <w:sz w:val="20"/>
          <w:szCs w:val="20"/>
          <w:color w:val="auto"/>
        </w:rPr>
      </w:pPr>
    </w:p>
    <w:p>
      <w:pPr>
        <w:ind w:left="1480" w:hanging="257"/>
        <w:spacing w:after="0"/>
        <w:tabs>
          <w:tab w:leader="none" w:pos="14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inadvertent violations of the insider trading laws;</w:t>
      </w:r>
    </w:p>
    <w:p>
      <w:pPr>
        <w:spacing w:after="0" w:line="179" w:lineRule="exact"/>
        <w:rPr>
          <w:rFonts w:ascii="Times New Roman" w:cs="Times New Roman" w:eastAsia="Times New Roman" w:hAnsi="Times New Roman"/>
          <w:sz w:val="22"/>
          <w:szCs w:val="22"/>
          <w:color w:val="auto"/>
        </w:rPr>
      </w:pPr>
    </w:p>
    <w:p>
      <w:pPr>
        <w:ind w:left="1500" w:right="300" w:hanging="277"/>
        <w:spacing w:after="0" w:line="236" w:lineRule="auto"/>
        <w:tabs>
          <w:tab w:leader="none" w:pos="148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embarrassing proxy disclosure of reporting violations by persons subject to Section 16 of the Exchange Act;</w:t>
      </w:r>
    </w:p>
    <w:p>
      <w:pPr>
        <w:spacing w:after="0" w:line="150" w:lineRule="exact"/>
        <w:rPr>
          <w:rFonts w:ascii="Times New Roman" w:cs="Times New Roman" w:eastAsia="Times New Roman" w:hAnsi="Times New Roman"/>
          <w:sz w:val="22"/>
          <w:szCs w:val="22"/>
          <w:color w:val="auto"/>
        </w:rPr>
      </w:pPr>
    </w:p>
    <w:p>
      <w:pPr>
        <w:ind w:left="1500" w:right="20" w:hanging="277"/>
        <w:spacing w:after="0" w:line="236" w:lineRule="auto"/>
        <w:tabs>
          <w:tab w:leader="none" w:pos="148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promote compliance with the Company’s obligation to publicly disclose information related to its insider trading policies and practices and the use of certain trading arrangements by Company insiders;</w:t>
      </w:r>
    </w:p>
    <w:p>
      <w:pPr>
        <w:spacing w:after="0" w:line="150"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even the appearance of impropriety on the part of those employed by, or associated with, the Company;</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Company from controlling person liability; and</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reputation of the Company, its Directors and its employees.</w:t>
      </w:r>
    </w:p>
    <w:p>
      <w:pPr>
        <w:spacing w:after="0" w:line="206"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The provisions in Sections 2 and 3 of this policy are not applicable to transactions by the Company itself. Transactions by the Company will comply with applicable U.S. federal securities laws, including those relating to insider trading.</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What Type of Information is “Material”?</w:t>
      </w:r>
    </w:p>
    <w:p>
      <w:pPr>
        <w:spacing w:after="0" w:line="206" w:lineRule="exact"/>
        <w:rPr>
          <w:sz w:val="20"/>
          <w:szCs w:val="20"/>
          <w:color w:val="auto"/>
        </w:rPr>
      </w:pPr>
    </w:p>
    <w:p>
      <w:pPr>
        <w:ind w:right="940" w:firstLine="648"/>
        <w:spacing w:after="0" w:line="271" w:lineRule="auto"/>
        <w:rPr>
          <w:sz w:val="20"/>
          <w:szCs w:val="20"/>
          <w:color w:val="auto"/>
        </w:rPr>
      </w:pPr>
      <w:r>
        <w:rPr>
          <w:rFonts w:ascii="Times New Roman" w:cs="Times New Roman" w:eastAsia="Times New Roman" w:hAnsi="Times New Roman"/>
          <w:sz w:val="22"/>
          <w:szCs w:val="22"/>
          <w:color w:val="auto"/>
        </w:rPr>
        <w:t>Information concerning the Company is considered material if there is a substantial likelihood that a reasonable shareholder would consider the information important in making an</w:t>
      </w:r>
    </w:p>
    <w:p>
      <w:pPr>
        <w:sectPr>
          <w:pgSz w:w="11900" w:h="16838" w:orient="portrait"/>
          <w:cols w:equalWidth="0" w:num="1">
            <w:col w:w="11240"/>
          </w:cols>
          <w:pgMar w:left="320" w:top="122" w:right="339" w:bottom="1440" w:gutter="0" w:footer="0" w:header="0"/>
        </w:sectPr>
      </w:pPr>
    </w:p>
    <w:bookmarkStart w:id="63" w:name="page64"/>
    <w:bookmarkEnd w:id="63"/>
    <w:p>
      <w:pPr>
        <w:spacing w:after="0" w:line="272" w:lineRule="auto"/>
        <w:rPr>
          <w:sz w:val="20"/>
          <w:szCs w:val="20"/>
          <w:color w:val="auto"/>
        </w:rPr>
      </w:pPr>
      <w:r>
        <w:rPr>
          <w:rFonts w:ascii="Times New Roman" w:cs="Times New Roman" w:eastAsia="Times New Roman" w:hAnsi="Times New Roman"/>
          <w:sz w:val="21"/>
          <w:szCs w:val="21"/>
          <w:color w:val="auto"/>
        </w:rPr>
        <w:t>investment decision with respect to the Company’s securities. Stated another way, there must be a substantial likelihood that a reasonable shareholder would view the information as having significantly altered the “total mix” of information available about the Company. Material information can include positive or negative information about the Company. Information concerning any of the following subjects, or the Company’s plans with respect to any of these subjects, would often be considered material:</w:t>
      </w:r>
    </w:p>
    <w:p>
      <w:pPr>
        <w:spacing w:after="0" w:line="134" w:lineRule="exact"/>
        <w:rPr>
          <w:sz w:val="20"/>
          <w:szCs w:val="20"/>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liquidity, cash burn rate, revenues or earnings;</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merger or acquisition involving the Company;</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of the Company;</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licensing or collaboration agreement or serious discussions regarding such an agreement;</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change in management or the Board of Directors of the Company;</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decision to commence or terminate the payment of cash dividends;</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or private sale of a significant amount of securities of the Company;</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a program to repurchase securities of the Company;</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 split;</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on outstanding debt or preferred stock of the Company or a bankruptcy filing;</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product release or a significant development, invention or discovery;</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concerning significant clinical trials, including the timing of and findings and data from such trials;</w:t>
      </w:r>
    </w:p>
    <w:p>
      <w:pPr>
        <w:spacing w:after="0" w:line="190" w:lineRule="exact"/>
        <w:rPr>
          <w:rFonts w:ascii="Times New Roman" w:cs="Times New Roman" w:eastAsia="Times New Roman" w:hAnsi="Times New Roman"/>
          <w:sz w:val="21"/>
          <w:szCs w:val="21"/>
          <w:color w:val="auto"/>
        </w:rPr>
      </w:pPr>
    </w:p>
    <w:p>
      <w:pPr>
        <w:ind w:left="1500" w:right="640" w:hanging="277"/>
        <w:spacing w:after="0" w:line="236" w:lineRule="auto"/>
        <w:tabs>
          <w:tab w:leader="none" w:pos="148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upcoming FDA actions or other significant regulatory developments, including a significant product recall;</w:t>
      </w:r>
    </w:p>
    <w:p>
      <w:pPr>
        <w:spacing w:after="0" w:line="150" w:lineRule="exact"/>
        <w:rPr>
          <w:rFonts w:ascii="Times New Roman" w:cs="Times New Roman" w:eastAsia="Times New Roman" w:hAnsi="Times New Roman"/>
          <w:sz w:val="22"/>
          <w:szCs w:val="22"/>
          <w:color w:val="auto"/>
        </w:rPr>
      </w:pPr>
    </w:p>
    <w:p>
      <w:pPr>
        <w:ind w:left="1500" w:right="860" w:hanging="277"/>
        <w:spacing w:after="0" w:line="236" w:lineRule="auto"/>
        <w:tabs>
          <w:tab w:leader="none" w:pos="148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loss, delay or gain of a significant contract, sale or order or other important development regarding customers, collaborators or suppliers;</w:t>
      </w:r>
    </w:p>
    <w:p>
      <w:pPr>
        <w:spacing w:after="0" w:line="150"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 or investigation of a potential such incident;</w:t>
      </w:r>
    </w:p>
    <w:p>
      <w:pPr>
        <w:spacing w:after="0" w:line="179" w:lineRule="exact"/>
        <w:rPr>
          <w:rFonts w:ascii="Times New Roman" w:cs="Times New Roman" w:eastAsia="Times New Roman" w:hAnsi="Times New Roman"/>
          <w:sz w:val="22"/>
          <w:szCs w:val="22"/>
          <w:color w:val="auto"/>
        </w:rPr>
      </w:pPr>
    </w:p>
    <w:p>
      <w:pPr>
        <w:ind w:left="1500" w:right="880" w:hanging="277"/>
        <w:spacing w:after="0" w:line="236" w:lineRule="auto"/>
        <w:tabs>
          <w:tab w:leader="none" w:pos="148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conclusion by the Company or a notification from its independent auditor that any of the Company’s previously issued financial statements should no longer be relied upon; or</w:t>
      </w:r>
    </w:p>
    <w:p>
      <w:pPr>
        <w:spacing w:after="0" w:line="150"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or dispute with the Company’s independent auditor.</w:t>
      </w:r>
    </w:p>
    <w:p>
      <w:pPr>
        <w:spacing w:after="0" w:line="206"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This list is illustrative only and is not intended to provide a comprehensive list of circumstances that could give rise to material information.</w:t>
      </w:r>
    </w:p>
    <w:p>
      <w:pPr>
        <w:sectPr>
          <w:pgSz w:w="11900" w:h="16838" w:orient="portrait"/>
          <w:cols w:equalWidth="0" w:num="1">
            <w:col w:w="11200"/>
          </w:cols>
          <w:pgMar w:left="320" w:top="1422" w:right="379" w:bottom="1440" w:gutter="0" w:footer="0" w:header="0"/>
        </w:sectPr>
      </w:pPr>
    </w:p>
    <w:bookmarkStart w:id="64" w:name="page65"/>
    <w:bookmarkEnd w:id="64"/>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When is Information “Nonpublic”?</w:t>
      </w:r>
    </w:p>
    <w:p>
      <w:pPr>
        <w:spacing w:after="0" w:line="206"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Information concerning the Company is considered nonpublic if it has not been disseminated in a manner making it available to investors generally.</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Information will generally be considered nonpublic unless (1) the information has been disclosed in a press release, in a public filing made with the SEC (such as a Report on Form 10-K, Form 10-Q or Form 8-K), or through a news wire service or daily newspaper of wide circulation, and (2) a sufficient amount of time has passed so that the information has had an opportunity to be digested by the marketplace.</w:t>
      </w:r>
    </w:p>
    <w:p>
      <w:pPr>
        <w:spacing w:after="0" w:line="14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Prohibitions Relating to Transactions in the Company’s Securities</w:t>
      </w:r>
    </w:p>
    <w:p>
      <w:pPr>
        <w:spacing w:after="0" w:line="18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 This Section 2 applies to:</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w:t>
      </w:r>
    </w:p>
    <w:p>
      <w:pPr>
        <w:spacing w:after="0" w:line="179" w:lineRule="exact"/>
        <w:rPr>
          <w:rFonts w:ascii="Times New Roman" w:cs="Times New Roman" w:eastAsia="Times New Roman" w:hAnsi="Times New Roman"/>
          <w:sz w:val="22"/>
          <w:szCs w:val="22"/>
          <w:color w:val="auto"/>
        </w:rPr>
      </w:pPr>
    </w:p>
    <w:p>
      <w:pPr>
        <w:ind w:left="1500" w:right="100" w:hanging="277"/>
        <w:spacing w:after="0" w:line="220" w:lineRule="auto"/>
        <w:tabs>
          <w:tab w:leader="none" w:pos="148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family members of Directors and employees who share the same address as, or are financially dependent on, the Director or employee and any other person who shares the same address as the Director or employee (other than (x) an employee or tenant of the Director or employee or (y) another unrelated person whom the Chief Legal Officer determines should not be covered by this policy); and</w:t>
      </w:r>
    </w:p>
    <w:p>
      <w:pPr>
        <w:spacing w:after="0" w:line="152" w:lineRule="exact"/>
        <w:rPr>
          <w:rFonts w:ascii="Times New Roman" w:cs="Times New Roman" w:eastAsia="Times New Roman" w:hAnsi="Times New Roman"/>
          <w:sz w:val="22"/>
          <w:szCs w:val="22"/>
          <w:color w:val="auto"/>
        </w:rPr>
      </w:pPr>
    </w:p>
    <w:p>
      <w:pPr>
        <w:ind w:left="1500" w:right="140" w:hanging="277"/>
        <w:spacing w:after="0" w:line="225" w:lineRule="auto"/>
        <w:tabs>
          <w:tab w:leader="none" w:pos="148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corporations, limited liability companies, partnerships, trusts or other entities controlled by any of the above persons, unless the entity has implemented policies or procedures designed to ensure that such person cannot influence transactions by the entity involving Company securities.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Prohibition on Trading While Aware of Material Nonpublic Information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940" w:hanging="636"/>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Activities</w:t>
      </w:r>
      <w:r>
        <w:rPr>
          <w:rFonts w:ascii="Times New Roman" w:cs="Times New Roman" w:eastAsia="Times New Roman" w:hAnsi="Times New Roman"/>
          <w:sz w:val="22"/>
          <w:szCs w:val="22"/>
          <w:color w:val="auto"/>
        </w:rPr>
        <w:t>. Except as provided in Section 4, no person or entity covered by Section 2 may:</w:t>
      </w:r>
    </w:p>
    <w:p>
      <w:pPr>
        <w:spacing w:after="0" w:line="206" w:lineRule="exact"/>
        <w:rPr>
          <w:sz w:val="20"/>
          <w:szCs w:val="20"/>
          <w:color w:val="auto"/>
        </w:rPr>
      </w:pPr>
    </w:p>
    <w:p>
      <w:pPr>
        <w:ind w:left="1620" w:right="460" w:hanging="316"/>
        <w:spacing w:after="0" w:line="270" w:lineRule="auto"/>
        <w:tabs>
          <w:tab w:leader="none" w:pos="161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22"/>
          <w:szCs w:val="22"/>
          <w:color w:val="auto"/>
        </w:rPr>
        <w:t>Purchase, sell or donate any securities of the Company while he or she is aware of any material nonpublic information concerning the Company or recommend to another person that they do so;</w:t>
      </w:r>
    </w:p>
    <w:p>
      <w:pPr>
        <w:spacing w:after="0" w:line="172" w:lineRule="exact"/>
        <w:rPr>
          <w:rFonts w:ascii="Arial" w:cs="Arial" w:eastAsia="Arial" w:hAnsi="Arial"/>
          <w:sz w:val="22"/>
          <w:szCs w:val="22"/>
          <w:color w:val="auto"/>
        </w:rPr>
      </w:pPr>
    </w:p>
    <w:p>
      <w:pPr>
        <w:jc w:val="both"/>
        <w:ind w:left="1620" w:right="140" w:hanging="316"/>
        <w:spacing w:after="0" w:line="256" w:lineRule="auto"/>
        <w:tabs>
          <w:tab w:leader="none" w:pos="161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22"/>
          <w:szCs w:val="22"/>
          <w:color w:val="auto"/>
        </w:rPr>
        <w:t>Tip or otherwise disclose to any other person any material nonpublic information concerning the Company if such person may misuse that information, such as by purchasing or selling Company securities or tipping that information to others;</w:t>
      </w:r>
    </w:p>
    <w:p>
      <w:pPr>
        <w:spacing w:after="0" w:line="174" w:lineRule="exact"/>
        <w:rPr>
          <w:rFonts w:ascii="Arial" w:cs="Arial" w:eastAsia="Arial" w:hAnsi="Arial"/>
          <w:sz w:val="22"/>
          <w:szCs w:val="22"/>
          <w:color w:val="auto"/>
        </w:rPr>
      </w:pPr>
    </w:p>
    <w:p>
      <w:pPr>
        <w:ind w:left="1620" w:right="140" w:hanging="316"/>
        <w:spacing w:after="0" w:line="256" w:lineRule="auto"/>
        <w:tabs>
          <w:tab w:leader="none" w:pos="161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22"/>
          <w:szCs w:val="22"/>
          <w:color w:val="auto"/>
        </w:rPr>
        <w:t>Purchase, sell or donate any securities of another company while he or she is aware of any material nonpublic information concerning such other company which he or she learned in the course of his or her service as a Director or employee of the Company or recommend to another person that they do so; or</w:t>
      </w:r>
    </w:p>
    <w:p>
      <w:pPr>
        <w:sectPr>
          <w:pgSz w:w="11900" w:h="16838" w:orient="portrait"/>
          <w:cols w:equalWidth="0" w:num="1">
            <w:col w:w="11240"/>
          </w:cols>
          <w:pgMar w:left="320" w:top="1395" w:right="339" w:bottom="1440" w:gutter="0" w:footer="0" w:header="0"/>
        </w:sectPr>
      </w:pPr>
    </w:p>
    <w:bookmarkStart w:id="65" w:name="page66"/>
    <w:bookmarkEnd w:id="65"/>
    <w:p>
      <w:pPr>
        <w:ind w:left="1620" w:right="80" w:hanging="316"/>
        <w:spacing w:after="0" w:line="256" w:lineRule="auto"/>
        <w:tabs>
          <w:tab w:leader="none" w:pos="161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22"/>
          <w:szCs w:val="22"/>
          <w:color w:val="auto"/>
        </w:rPr>
        <w:t>disclose to any other person any material nonpublic information concerning another company which he or she learned in the course of his or her service as a Director or employee of the Company if such person may misuse that information, such as by purchasing or selling securities of such other company or tipping that information to others.</w:t>
      </w:r>
    </w:p>
    <w:p>
      <w:pPr>
        <w:spacing w:after="0" w:line="148" w:lineRule="exact"/>
        <w:rPr>
          <w:sz w:val="20"/>
          <w:szCs w:val="20"/>
          <w:color w:val="auto"/>
        </w:rPr>
      </w:pPr>
    </w:p>
    <w:p>
      <w:pPr>
        <w:ind w:firstLine="1304"/>
        <w:spacing w:after="0" w:line="220" w:lineRule="auto"/>
        <w:tabs>
          <w:tab w:leader="none" w:pos="193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Policy After Cessation of Service</w:t>
      </w:r>
      <w:r>
        <w:rPr>
          <w:rFonts w:ascii="Times New Roman" w:cs="Times New Roman" w:eastAsia="Times New Roman" w:hAnsi="Times New Roman"/>
          <w:sz w:val="22"/>
          <w:szCs w:val="22"/>
          <w:color w:val="auto"/>
        </w:rPr>
        <w:t>. If a person ceases to be a Director or employee of the Company at a time when he or she is aware of material nonpublic information concerning the Company, the prohibition on purchases, sales or donations of Company securities in Section 2.2(a) shall continue to apply to such person until that information has become public or is no longer material.</w:t>
      </w:r>
    </w:p>
    <w:p>
      <w:pPr>
        <w:spacing w:after="0" w:line="152" w:lineRule="exact"/>
        <w:rPr>
          <w:sz w:val="20"/>
          <w:szCs w:val="20"/>
          <w:color w:val="auto"/>
        </w:rPr>
      </w:pPr>
    </w:p>
    <w:p>
      <w:pPr>
        <w:jc w:val="both"/>
        <w:ind w:right="540" w:firstLine="648"/>
        <w:spacing w:after="0" w:line="255"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Prohibition on Pledges</w:t>
      </w:r>
      <w:r>
        <w:rPr>
          <w:rFonts w:ascii="Times New Roman" w:cs="Times New Roman" w:eastAsia="Times New Roman" w:hAnsi="Times New Roman"/>
          <w:sz w:val="21"/>
          <w:szCs w:val="21"/>
          <w:color w:val="auto"/>
        </w:rPr>
        <w:t>. No person or entity covered by this Section 2 may purchase Company securities on margin, borrow against Company securities held in a margin account, or pledge Company securities as collateral for a loan.</w:t>
      </w:r>
    </w:p>
    <w:p>
      <w:pPr>
        <w:spacing w:after="0" w:line="12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Prohibition on Short Sales, Derivative Transactions and Hedging Transactions</w:t>
      </w:r>
      <w:r>
        <w:rPr>
          <w:rFonts w:ascii="Times New Roman" w:cs="Times New Roman" w:eastAsia="Times New Roman" w:hAnsi="Times New Roman"/>
          <w:sz w:val="21"/>
          <w:szCs w:val="21"/>
          <w:color w:val="auto"/>
        </w:rPr>
        <w:t>. No person or entity covered by this</w:t>
      </w:r>
    </w:p>
    <w:p>
      <w:pPr>
        <w:spacing w:after="0"/>
        <w:rPr>
          <w:sz w:val="20"/>
          <w:szCs w:val="20"/>
          <w:color w:val="auto"/>
        </w:rPr>
      </w:pPr>
      <w:r>
        <w:rPr>
          <w:rFonts w:ascii="Times New Roman" w:cs="Times New Roman" w:eastAsia="Times New Roman" w:hAnsi="Times New Roman"/>
          <w:sz w:val="22"/>
          <w:szCs w:val="22"/>
          <w:color w:val="auto"/>
        </w:rPr>
        <w:t>Section 2 may engage in any of the following types of transactions with respect to Company securities:</w:t>
      </w:r>
    </w:p>
    <w:p>
      <w:pPr>
        <w:spacing w:after="0" w:line="155" w:lineRule="exact"/>
        <w:rPr>
          <w:sz w:val="20"/>
          <w:szCs w:val="20"/>
          <w:color w:val="auto"/>
        </w:rPr>
      </w:pPr>
    </w:p>
    <w:p>
      <w:pPr>
        <w:ind w:left="1480" w:hanging="257"/>
        <w:spacing w:after="0"/>
        <w:tabs>
          <w:tab w:leader="none" w:pos="14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including short sales “against the box”; or</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puts, calls or other derivative securities ; or</w:t>
      </w:r>
    </w:p>
    <w:p>
      <w:pPr>
        <w:spacing w:after="0" w:line="179" w:lineRule="exact"/>
        <w:rPr>
          <w:rFonts w:ascii="Times New Roman" w:cs="Times New Roman" w:eastAsia="Times New Roman" w:hAnsi="Times New Roman"/>
          <w:sz w:val="22"/>
          <w:szCs w:val="22"/>
          <w:color w:val="auto"/>
        </w:rPr>
      </w:pPr>
    </w:p>
    <w:p>
      <w:pPr>
        <w:ind w:left="1500" w:hanging="277"/>
        <w:spacing w:after="0" w:line="225" w:lineRule="auto"/>
        <w:tabs>
          <w:tab w:leader="none" w:pos="1489"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financial instruments (including prepaid variable forward contracts, equity swaps, collars and exchange funds) or other transactions that hedge or offset, or are designed to hedge or offset, any decrease in the market value of Company securities.</w:t>
      </w:r>
    </w:p>
    <w:p>
      <w:pPr>
        <w:spacing w:after="0" w:line="148" w:lineRule="exact"/>
        <w:rPr>
          <w:rFonts w:ascii="Times New Roman" w:cs="Times New Roman" w:eastAsia="Times New Roman" w:hAnsi="Times New Roman"/>
          <w:sz w:val="22"/>
          <w:szCs w:val="22"/>
          <w:color w:val="auto"/>
        </w:rPr>
      </w:pPr>
    </w:p>
    <w:p>
      <w:pPr>
        <w:ind w:left="720" w:hanging="712"/>
        <w:spacing w:after="0"/>
        <w:tabs>
          <w:tab w:leader="none" w:pos="7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Prohibitions Applicable to Directors, Executive Officers and Designated Employees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Covered Persons</w:t>
      </w:r>
      <w:r>
        <w:rPr>
          <w:rFonts w:ascii="Times New Roman" w:cs="Times New Roman" w:eastAsia="Times New Roman" w:hAnsi="Times New Roman"/>
          <w:sz w:val="21"/>
          <w:szCs w:val="21"/>
          <w:color w:val="auto"/>
        </w:rPr>
        <w:t>. This Section 3 applies to:</w:t>
      </w:r>
    </w:p>
    <w:p>
      <w:pPr>
        <w:spacing w:after="0" w:line="179" w:lineRule="exact"/>
        <w:rPr>
          <w:sz w:val="20"/>
          <w:szCs w:val="20"/>
          <w:color w:val="auto"/>
        </w:rPr>
      </w:pPr>
    </w:p>
    <w:p>
      <w:pPr>
        <w:ind w:left="1480" w:hanging="257"/>
        <w:spacing w:after="0"/>
        <w:tabs>
          <w:tab w:leader="none" w:pos="14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179" w:lineRule="exact"/>
        <w:rPr>
          <w:rFonts w:ascii="Times New Roman" w:cs="Times New Roman" w:eastAsia="Times New Roman" w:hAnsi="Times New Roman"/>
          <w:sz w:val="22"/>
          <w:szCs w:val="22"/>
          <w:color w:val="auto"/>
        </w:rPr>
      </w:pPr>
    </w:p>
    <w:p>
      <w:pPr>
        <w:ind w:left="1480" w:hanging="257"/>
        <w:spacing w:after="0"/>
        <w:tabs>
          <w:tab w:leader="none" w:pos="14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executive officers;</w:t>
      </w:r>
    </w:p>
    <w:p>
      <w:pPr>
        <w:spacing w:after="0" w:line="179" w:lineRule="exact"/>
        <w:rPr>
          <w:rFonts w:ascii="Times New Roman" w:cs="Times New Roman" w:eastAsia="Times New Roman" w:hAnsi="Times New Roman"/>
          <w:sz w:val="22"/>
          <w:szCs w:val="22"/>
          <w:color w:val="auto"/>
        </w:rPr>
      </w:pPr>
    </w:p>
    <w:p>
      <w:pPr>
        <w:ind w:left="1500" w:right="680" w:hanging="277"/>
        <w:spacing w:after="0" w:line="225" w:lineRule="auto"/>
        <w:tabs>
          <w:tab w:leader="none" w:pos="148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employees as are designated from time to time by the Board of Directors, the Chief Executive Officer, the Chief Financial Officer or the Chief Legal Officer, as being subject to this Section 3 (the “Designated Employees”);</w:t>
      </w:r>
    </w:p>
    <w:p>
      <w:pPr>
        <w:spacing w:after="0" w:line="152" w:lineRule="exact"/>
        <w:rPr>
          <w:rFonts w:ascii="Times New Roman" w:cs="Times New Roman" w:eastAsia="Times New Roman" w:hAnsi="Times New Roman"/>
          <w:sz w:val="22"/>
          <w:szCs w:val="22"/>
          <w:color w:val="auto"/>
        </w:rPr>
      </w:pPr>
    </w:p>
    <w:p>
      <w:pPr>
        <w:ind w:left="1500" w:right="160" w:hanging="277"/>
        <w:spacing w:after="0" w:line="217" w:lineRule="auto"/>
        <w:tabs>
          <w:tab w:leader="none" w:pos="148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family members of Directors, executive officers and Designated Employees who share the same address as, or are financially dependent on, the Director, executive officer or Designated Employee and any other person who shares the same address as the Director, executive officer or Designated Employee (other than (x) an employee or tenant of the Director, executive officer or Designated Employee or (y) another unrelated person whom the Chief Legal Officer determines should not be covered by this policy); and</w:t>
      </w:r>
    </w:p>
    <w:p>
      <w:pPr>
        <w:spacing w:after="0" w:line="152" w:lineRule="exact"/>
        <w:rPr>
          <w:rFonts w:ascii="Times New Roman" w:cs="Times New Roman" w:eastAsia="Times New Roman" w:hAnsi="Times New Roman"/>
          <w:sz w:val="22"/>
          <w:szCs w:val="22"/>
          <w:color w:val="auto"/>
        </w:rPr>
      </w:pPr>
    </w:p>
    <w:p>
      <w:pPr>
        <w:ind w:left="1500" w:right="120" w:hanging="277"/>
        <w:spacing w:after="0" w:line="236" w:lineRule="auto"/>
        <w:tabs>
          <w:tab w:leader="none" w:pos="148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corporations, limited liability companies, partnerships, trusts or other entities controlled by any of the above persons, unless the entity has implemented</w:t>
      </w:r>
    </w:p>
    <w:p>
      <w:pPr>
        <w:sectPr>
          <w:pgSz w:w="11900" w:h="16838" w:orient="portrait"/>
          <w:cols w:equalWidth="0" w:num="1">
            <w:col w:w="11220"/>
          </w:cols>
          <w:pgMar w:left="320" w:top="1422" w:right="359" w:bottom="1440" w:gutter="0" w:footer="0" w:header="0"/>
        </w:sectPr>
      </w:pPr>
    </w:p>
    <w:bookmarkStart w:id="66" w:name="page67"/>
    <w:bookmarkEnd w:id="66"/>
    <w:p>
      <w:pPr>
        <w:ind w:left="840" w:right="120"/>
        <w:spacing w:after="0" w:line="236" w:lineRule="auto"/>
        <w:rPr>
          <w:sz w:val="20"/>
          <w:szCs w:val="20"/>
          <w:color w:val="auto"/>
        </w:rPr>
      </w:pPr>
      <w:r>
        <w:rPr>
          <w:rFonts w:ascii="Times New Roman" w:cs="Times New Roman" w:eastAsia="Times New Roman" w:hAnsi="Times New Roman"/>
          <w:sz w:val="22"/>
          <w:szCs w:val="22"/>
          <w:color w:val="auto"/>
        </w:rPr>
        <w:t>policies or procedures designed to ensure that such person cannot influence transactions by the entity involving Company securities.</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Blackout Periods</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ind w:left="-660" w:right="140" w:firstLine="1304"/>
        <w:spacing w:after="0" w:line="220" w:lineRule="auto"/>
        <w:tabs>
          <w:tab w:leader="none" w:pos="128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Blackout Periods</w:t>
      </w:r>
      <w:r>
        <w:rPr>
          <w:rFonts w:ascii="Times New Roman" w:cs="Times New Roman" w:eastAsia="Times New Roman" w:hAnsi="Times New Roman"/>
          <w:sz w:val="22"/>
          <w:szCs w:val="22"/>
          <w:color w:val="auto"/>
        </w:rPr>
        <w:t>. Except as provided in Section 4, no person or entity covered by this Section 3 may purchase, sell or donate any securities of the Company during the period beginning on the fifteenth day of the last month of each fiscal quarter and ending upon the completion of the second full trading day after the public announcement of earnings for such quarter (a “regular blackout period”).</w:t>
      </w:r>
    </w:p>
    <w:p>
      <w:pPr>
        <w:spacing w:after="0" w:line="152" w:lineRule="exact"/>
        <w:rPr>
          <w:rFonts w:ascii="Times New Roman" w:cs="Times New Roman" w:eastAsia="Times New Roman" w:hAnsi="Times New Roman"/>
          <w:sz w:val="22"/>
          <w:szCs w:val="22"/>
          <w:color w:val="auto"/>
        </w:rPr>
      </w:pPr>
    </w:p>
    <w:p>
      <w:pPr>
        <w:ind w:left="-660" w:right="20" w:firstLine="1304"/>
        <w:spacing w:after="0" w:line="215" w:lineRule="auto"/>
        <w:tabs>
          <w:tab w:leader="none" w:pos="127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News Blackout Periods</w:t>
      </w:r>
      <w:r>
        <w:rPr>
          <w:rFonts w:ascii="Times New Roman" w:cs="Times New Roman" w:eastAsia="Times New Roman" w:hAnsi="Times New Roman"/>
          <w:sz w:val="22"/>
          <w:szCs w:val="22"/>
          <w:color w:val="auto"/>
        </w:rPr>
        <w:t>. The Company may from time to time notify Directors, executive officers and other specified employees that an additional blackout period (a “corporate news blackout period”) is in effect in view of significant events or developments involving the Company. In such event, except as provided in Section 4, no such individual may purchase, sell or donate any securities of the Company during such corporate news blackout period or inform anyone else that a corporate news blackout period is in effect. (In this policy, regular blackout periods and corporate news blackout periods are each referred to as a “blackout period.”)</w:t>
      </w:r>
    </w:p>
    <w:p>
      <w:pPr>
        <w:spacing w:after="0" w:line="152" w:lineRule="exact"/>
        <w:rPr>
          <w:rFonts w:ascii="Times New Roman" w:cs="Times New Roman" w:eastAsia="Times New Roman" w:hAnsi="Times New Roman"/>
          <w:sz w:val="22"/>
          <w:szCs w:val="22"/>
          <w:color w:val="auto"/>
        </w:rPr>
      </w:pPr>
    </w:p>
    <w:p>
      <w:pPr>
        <w:jc w:val="both"/>
        <w:ind w:left="-660" w:right="100" w:firstLine="1304"/>
        <w:spacing w:after="0" w:line="225" w:lineRule="auto"/>
        <w:tabs>
          <w:tab w:leader="none" w:pos="128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Awareness of Material Non-Public Information when a Blackout Period is Not in Effect</w:t>
      </w:r>
      <w:r>
        <w:rPr>
          <w:rFonts w:ascii="Times New Roman" w:cs="Times New Roman" w:eastAsia="Times New Roman" w:hAnsi="Times New Roman"/>
          <w:sz w:val="22"/>
          <w:szCs w:val="22"/>
          <w:color w:val="auto"/>
        </w:rPr>
        <w:t>. The prohibitions set forth in Section 2.2(a) with respect to transactions made by persons or entities while aware of material nonpublic information apply regardless of whether a blackout period is then in effect.</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Notice and Pre-Clearance of Transactions</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ind w:left="-660" w:firstLine="1304"/>
        <w:spacing w:after="0" w:line="218" w:lineRule="auto"/>
        <w:tabs>
          <w:tab w:leader="none" w:pos="128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Pre-Transaction Clearance</w:t>
      </w:r>
      <w:r>
        <w:rPr>
          <w:rFonts w:ascii="Times New Roman" w:cs="Times New Roman" w:eastAsia="Times New Roman" w:hAnsi="Times New Roman"/>
          <w:sz w:val="21"/>
          <w:szCs w:val="21"/>
          <w:color w:val="auto"/>
        </w:rPr>
        <w:t>. No person or entity covered by this Section 3 (a “Pre-Clearance Person”) may purchase, sell, donate, transfer or otherwise acquire or dispose of securities of the Company, either directly or indirectly, other than in a transaction permitted under Section 4, unless such person pre-clears the transaction with either the Chief Financial Officer or the Chief Legal Officer. A request for pre-clearance shall be made in accordance with the procedures established by the Chief Legal Officer. A request for pre-clearance may be oral or in writing (including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options or shares to be involved. In addition, the Pre-Clearance person must execute a certification (in the form approved by the Chief Legal Officer) that he, she or it is not aware of material nonpublic information about the Company. The Chief Financial Officer and the Chief Legal Officer shall have sole discretion to decide whether to clear any contemplated transaction. (The Chief Legal Officer shall have sole discretion to decide whether to clear transactions by the Chief Financial Officer or persons or entities subject to this policy as a result of their relationship with the Chief Financial Officer, and the Chief Financial Officer shall have sole discretion to decide whether to clear transactions by the Chief Legal Officer or persons or entities subject to this policy as a result of their relationship with the Chief Legal Officer) All transactions that are pre-cleared must be effected within three business days of receipt of the pre-clearance unless a longer or shorter period has been specified by the Chief Financial Officer or the Chief Legal Officer. A pre-cleared transaction (or any portion of a pre-cleared transaction) that has not been effected during the three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ectPr>
          <w:pgSz w:w="11900" w:h="16838" w:orient="portrait"/>
          <w:cols w:equalWidth="0" w:num="1">
            <w:col w:w="10580"/>
          </w:cols>
          <w:pgMar w:left="980" w:top="1395" w:right="339" w:bottom="1440" w:gutter="0" w:footer="0" w:header="0"/>
        </w:sectPr>
      </w:pPr>
    </w:p>
    <w:bookmarkStart w:id="67" w:name="page68"/>
    <w:bookmarkEnd w:id="67"/>
    <w:p>
      <w:pPr>
        <w:ind w:firstLine="1304"/>
        <w:spacing w:after="0" w:line="211" w:lineRule="auto"/>
        <w:tabs>
          <w:tab w:leader="none" w:pos="1939"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Post-Transaction Notice</w:t>
      </w:r>
      <w:r>
        <w:rPr>
          <w:rFonts w:ascii="Times New Roman" w:cs="Times New Roman" w:eastAsia="Times New Roman" w:hAnsi="Times New Roman"/>
          <w:sz w:val="22"/>
          <w:szCs w:val="22"/>
          <w:color w:val="auto"/>
        </w:rPr>
        <w:t>. Each person or entity covered by this Section 3 who is subject to reporting obligations under Section 16 of the Exchange Act shall also notify the Chief Financial Officer or the Chief Legal Officer (or his or her respective designee) of the occurrence of any purchase, sale, donation, transfer or other acquisition or disposition of securities of the Company as soon as possible following the transaction, but in any event within one business day after the transaction. Such notification may be oral or in writing (including by e-mail) and should include the identity of the covered person, the type of transaction, the date of the transaction, the number of shares involved, the purchase or sale price, and whether the transaction was effected pursuant to a contract, instruction or written plan that is intended either to satisfy the affirmative defense conditions of Rule 10b5-1(c) or to constitute a non-Rule 10b5-1 trading arrangement (as defined in Item 408(c) of Regulation S-K).</w:t>
      </w:r>
    </w:p>
    <w:p>
      <w:pPr>
        <w:spacing w:after="0" w:line="158" w:lineRule="exact"/>
        <w:rPr>
          <w:rFonts w:ascii="Times New Roman" w:cs="Times New Roman" w:eastAsia="Times New Roman" w:hAnsi="Times New Roman"/>
          <w:sz w:val="22"/>
          <w:szCs w:val="22"/>
          <w:color w:val="auto"/>
        </w:rPr>
      </w:pPr>
    </w:p>
    <w:p>
      <w:pPr>
        <w:ind w:right="340" w:firstLine="1304"/>
        <w:spacing w:after="0" w:line="225" w:lineRule="auto"/>
        <w:tabs>
          <w:tab w:leader="none" w:pos="194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Time of a Transaction</w:t>
      </w:r>
      <w:r>
        <w:rPr>
          <w:rFonts w:ascii="Times New Roman" w:cs="Times New Roman" w:eastAsia="Times New Roman" w:hAnsi="Times New Roman"/>
          <w:sz w:val="22"/>
          <w:szCs w:val="22"/>
          <w:color w:val="auto"/>
        </w:rPr>
        <w:t>. For purposes of this Section 3.3, a purchase, sale, donation, transfer or other acquisition or disposition shall be deemed to occur at the time the person becomes irrevocably committed to it (for example, in the case of an open market purchase or sale, this occurs when the trade is executed, not when it settles).</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Exceptions</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The prohibitions in Sections 2.2(a) and 3.2 on purchases, sales and donations of Company securities do not apply to:</w:t>
      </w:r>
    </w:p>
    <w:p>
      <w:pPr>
        <w:spacing w:after="0" w:line="177" w:lineRule="exact"/>
        <w:rPr>
          <w:sz w:val="20"/>
          <w:szCs w:val="20"/>
          <w:color w:val="auto"/>
        </w:rPr>
      </w:pPr>
    </w:p>
    <w:p>
      <w:pPr>
        <w:ind w:left="1620" w:right="60" w:hanging="316"/>
        <w:spacing w:after="0" w:line="251" w:lineRule="auto"/>
        <w:tabs>
          <w:tab w:leader="none" w:pos="1615" w:val="left"/>
        </w:tabs>
        <w:numPr>
          <w:ilvl w:val="0"/>
          <w:numId w:val="37"/>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exercises of stock options or other equity awards or the surrender of shares to the Company in payment of the exercise price or in satisfaction of any tax withholding obligations, in each case in a manner permitted by the applicable equity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the securities so acquired may not be sold (either outright or in connection with a “cashless” exercise transaction through a broker) while the employee or Director is aware of material nonpublic information or, in the case of someone who is subject to Section 3, during a blackout period;</w:t>
      </w:r>
    </w:p>
    <w:p>
      <w:pPr>
        <w:spacing w:after="0" w:line="180" w:lineRule="exact"/>
        <w:rPr>
          <w:rFonts w:ascii="Arial" w:cs="Arial" w:eastAsia="Arial" w:hAnsi="Arial"/>
          <w:sz w:val="22"/>
          <w:szCs w:val="22"/>
          <w:color w:val="auto"/>
        </w:rPr>
      </w:pPr>
    </w:p>
    <w:p>
      <w:pPr>
        <w:ind w:left="1620" w:right="60" w:hanging="316"/>
        <w:spacing w:after="0" w:line="256" w:lineRule="auto"/>
        <w:tabs>
          <w:tab w:leader="none" w:pos="1615" w:val="left"/>
        </w:tabs>
        <w:numPr>
          <w:ilvl w:val="0"/>
          <w:numId w:val="37"/>
        </w:numPr>
        <w:rPr>
          <w:rFonts w:ascii="Arial" w:cs="Arial" w:eastAsia="Arial" w:hAnsi="Arial"/>
          <w:sz w:val="22"/>
          <w:szCs w:val="22"/>
          <w:color w:val="auto"/>
        </w:rPr>
      </w:pPr>
      <w:r>
        <w:rPr>
          <w:rFonts w:ascii="Times New Roman" w:cs="Times New Roman" w:eastAsia="Times New Roman" w:hAnsi="Times New Roman"/>
          <w:sz w:val="22"/>
          <w:szCs w:val="22"/>
          <w:color w:val="auto"/>
        </w:rPr>
        <w:t>acquisitions or dispositions of Company common stock under the Company’s 401(k) or other individual account plan that are made pursuant to standing instructions, in a form approved by the Company, not entered into or modified while the employee or Director is aware of material nonpublic information or, in the case of someone who is subject to Section 3, during a blackout period;</w:t>
      </w:r>
    </w:p>
    <w:p>
      <w:pPr>
        <w:spacing w:after="0" w:line="175" w:lineRule="exact"/>
        <w:rPr>
          <w:rFonts w:ascii="Arial" w:cs="Arial" w:eastAsia="Arial" w:hAnsi="Arial"/>
          <w:sz w:val="22"/>
          <w:szCs w:val="22"/>
          <w:color w:val="auto"/>
        </w:rPr>
      </w:pPr>
    </w:p>
    <w:p>
      <w:pPr>
        <w:ind w:left="1620" w:right="180" w:hanging="316"/>
        <w:spacing w:after="0" w:line="270" w:lineRule="auto"/>
        <w:tabs>
          <w:tab w:leader="none" w:pos="1615" w:val="left"/>
        </w:tabs>
        <w:numPr>
          <w:ilvl w:val="0"/>
          <w:numId w:val="37"/>
        </w:numPr>
        <w:rPr>
          <w:rFonts w:ascii="Arial" w:cs="Arial" w:eastAsia="Arial" w:hAnsi="Arial"/>
          <w:sz w:val="22"/>
          <w:szCs w:val="22"/>
          <w:color w:val="auto"/>
        </w:rPr>
      </w:pPr>
      <w:r>
        <w:rPr>
          <w:rFonts w:ascii="Times New Roman" w:cs="Times New Roman" w:eastAsia="Times New Roman" w:hAnsi="Times New Roman"/>
          <w:sz w:val="22"/>
          <w:szCs w:val="22"/>
          <w:color w:val="auto"/>
        </w:rPr>
        <w:t>other purchases of securities from the Company (including purchases under the Company’s Employee Stock Purchase Plan) or sales of securities to the Company;</w:t>
      </w:r>
    </w:p>
    <w:p>
      <w:pPr>
        <w:spacing w:after="0" w:line="158" w:lineRule="exact"/>
        <w:rPr>
          <w:rFonts w:ascii="Arial" w:cs="Arial" w:eastAsia="Arial" w:hAnsi="Arial"/>
          <w:sz w:val="22"/>
          <w:szCs w:val="22"/>
          <w:color w:val="auto"/>
        </w:rPr>
      </w:pPr>
    </w:p>
    <w:p>
      <w:pPr>
        <w:ind w:left="1620" w:hanging="316"/>
        <w:spacing w:after="0"/>
        <w:tabs>
          <w:tab w:leader="none" w:pos="162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22"/>
          <w:szCs w:val="22"/>
          <w:color w:val="auto"/>
        </w:rPr>
        <w:t>bona fide gifts that are approved in advance by the Company; and</w:t>
      </w:r>
    </w:p>
    <w:p>
      <w:pPr>
        <w:spacing w:after="0" w:line="218" w:lineRule="exact"/>
        <w:rPr>
          <w:rFonts w:ascii="Arial" w:cs="Arial" w:eastAsia="Arial" w:hAnsi="Arial"/>
          <w:sz w:val="22"/>
          <w:szCs w:val="22"/>
          <w:color w:val="auto"/>
        </w:rPr>
      </w:pPr>
    </w:p>
    <w:p>
      <w:pPr>
        <w:ind w:left="1620" w:right="120" w:hanging="316"/>
        <w:spacing w:after="0" w:line="253" w:lineRule="auto"/>
        <w:tabs>
          <w:tab w:leader="none" w:pos="1615" w:val="left"/>
        </w:tabs>
        <w:numPr>
          <w:ilvl w:val="0"/>
          <w:numId w:val="37"/>
        </w:numPr>
        <w:rPr>
          <w:rFonts w:ascii="Arial" w:cs="Arial" w:eastAsia="Arial" w:hAnsi="Arial"/>
          <w:sz w:val="22"/>
          <w:szCs w:val="22"/>
          <w:color w:val="auto"/>
        </w:rPr>
      </w:pPr>
      <w:r>
        <w:rPr>
          <w:rFonts w:ascii="Times New Roman" w:cs="Times New Roman" w:eastAsia="Times New Roman" w:hAnsi="Times New Roman"/>
          <w:sz w:val="22"/>
          <w:szCs w:val="22"/>
          <w:color w:val="auto"/>
        </w:rPr>
        <w:t>purchases, sales or donations made pursuant to a binding contract, written plan or specific instruction which satisfies the applicable affirmative defense conditions of Rule 10b5-1(c), including as applicable the requirements applicable to an eligible sell-to-cover transaction as defined in Rule 10b5-1(c)(1)(ii)(D)(3) ), or for which the affirmative defense is available under Rule 10b5-1(c) because such plan was adopted prior to February 27,</w:t>
      </w:r>
    </w:p>
    <w:p>
      <w:pPr>
        <w:sectPr>
          <w:pgSz w:w="11900" w:h="16838" w:orient="portrait"/>
          <w:cols w:equalWidth="0" w:num="1">
            <w:col w:w="11160"/>
          </w:cols>
          <w:pgMar w:left="320" w:top="1395" w:right="419" w:bottom="1440" w:gutter="0" w:footer="0" w:header="0"/>
        </w:sectPr>
      </w:pPr>
    </w:p>
    <w:bookmarkStart w:id="68" w:name="page69"/>
    <w:bookmarkEnd w:id="68"/>
    <w:p>
      <w:pPr>
        <w:ind w:left="1620" w:right="80"/>
        <w:spacing w:after="0" w:line="257" w:lineRule="auto"/>
        <w:rPr>
          <w:sz w:val="20"/>
          <w:szCs w:val="20"/>
          <w:color w:val="auto"/>
        </w:rPr>
      </w:pPr>
      <w:r>
        <w:rPr>
          <w:rFonts w:ascii="Times New Roman" w:cs="Times New Roman" w:eastAsia="Times New Roman" w:hAnsi="Times New Roman"/>
          <w:sz w:val="22"/>
          <w:szCs w:val="22"/>
          <w:color w:val="auto"/>
        </w:rPr>
        <w:t>2023, met the affirmative defense conditions in effect at the time of adoption, and was not modified or changed on or after February 27, 2023 (a “trading plan”); provided such trading plan: (1) is in writing; and (2) was submitted to the Company for review by the Company prior to its adoption; and</w:t>
      </w:r>
    </w:p>
    <w:p>
      <w:pPr>
        <w:spacing w:after="0" w:line="186" w:lineRule="exact"/>
        <w:rPr>
          <w:sz w:val="20"/>
          <w:szCs w:val="20"/>
          <w:color w:val="auto"/>
        </w:rPr>
      </w:pPr>
    </w:p>
    <w:p>
      <w:pPr>
        <w:ind w:left="1620" w:right="160" w:hanging="316"/>
        <w:spacing w:after="0" w:line="252" w:lineRule="auto"/>
        <w:tabs>
          <w:tab w:leader="none" w:pos="1615" w:val="left"/>
        </w:tabs>
        <w:numPr>
          <w:ilvl w:val="0"/>
          <w:numId w:val="38"/>
        </w:numPr>
        <w:rPr>
          <w:rFonts w:ascii="Arial" w:cs="Arial" w:eastAsia="Arial" w:hAnsi="Arial"/>
          <w:sz w:val="22"/>
          <w:szCs w:val="22"/>
          <w:color w:val="auto"/>
        </w:rPr>
      </w:pPr>
      <w:r>
        <w:rPr>
          <w:rFonts w:ascii="Times New Roman" w:cs="Times New Roman" w:eastAsia="Times New Roman" w:hAnsi="Times New Roman"/>
          <w:sz w:val="22"/>
          <w:szCs w:val="22"/>
          <w:color w:val="auto"/>
        </w:rPr>
        <w:t>purchases, sales or donations made pursuant to a binding contract, written plan or specific instruction which satisfies the definition of a “non-Rule 10b5-1 trading arrangement as such term is defined in Item 408(c) of Regulation S-K, provided such non-Rule 10b5-1 trading arrangement: (1) is in writing and (2) was submitted to the Company for review prior to its adoption.</w:t>
      </w:r>
    </w:p>
    <w:p>
      <w:pPr>
        <w:spacing w:after="0" w:line="151"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Partnership Distributions</w:t>
      </w:r>
      <w:r>
        <w:rPr>
          <w:rFonts w:ascii="Times New Roman" w:cs="Times New Roman" w:eastAsia="Times New Roman" w:hAnsi="Times New Roman"/>
          <w:sz w:val="22"/>
          <w:szCs w:val="22"/>
          <w:color w:val="auto"/>
        </w:rPr>
        <w:t>.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52" w:lineRule="exact"/>
        <w:rPr>
          <w:sz w:val="20"/>
          <w:szCs w:val="20"/>
          <w:color w:val="auto"/>
        </w:rPr>
      </w:pPr>
    </w:p>
    <w:p>
      <w:pPr>
        <w:jc w:val="both"/>
        <w:ind w:right="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Underwritten Public Offering</w:t>
      </w:r>
      <w:r>
        <w:rPr>
          <w:rFonts w:ascii="Times New Roman" w:cs="Times New Roman" w:eastAsia="Times New Roman" w:hAnsi="Times New Roman"/>
          <w:sz w:val="22"/>
          <w:szCs w:val="22"/>
          <w:color w:val="auto"/>
        </w:rPr>
        <w:t>. Nothing in this policy is intended to limit the ability of any person to sell Company securities as a selling stockholder in an underwritten public offering pursuant to an effective registration statement in accordance with applicable securities law.</w:t>
      </w:r>
    </w:p>
    <w:p>
      <w:pPr>
        <w:spacing w:after="0" w:line="148"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Regulation BTR</w:t>
      </w:r>
    </w:p>
    <w:p>
      <w:pPr>
        <w:spacing w:after="0" w:line="210" w:lineRule="exact"/>
        <w:rPr>
          <w:sz w:val="20"/>
          <w:szCs w:val="20"/>
          <w:color w:val="auto"/>
        </w:rPr>
      </w:pPr>
    </w:p>
    <w:p>
      <w:pPr>
        <w:ind w:right="580" w:firstLine="648"/>
        <w:spacing w:after="0" w:line="256" w:lineRule="auto"/>
        <w:rPr>
          <w:sz w:val="20"/>
          <w:szCs w:val="20"/>
          <w:color w:val="auto"/>
        </w:rPr>
      </w:pPr>
      <w:r>
        <w:rPr>
          <w:rFonts w:ascii="Times New Roman" w:cs="Times New Roman" w:eastAsia="Times New Roman" w:hAnsi="Times New Roman"/>
          <w:sz w:val="22"/>
          <w:szCs w:val="22"/>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4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Penalties for Violation</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Violation of any of the foregoing rules is grounds for disciplinary action by the Company, including termination of employment. In addition to any disciplinary actions the Company may take, insider trading can also result in administrative, civil or criminal proceedings which can result in significant fines and civil penalties, being barred from service as an officer or director of a public company, or imprisonment.</w:t>
      </w:r>
    </w:p>
    <w:p>
      <w:pPr>
        <w:spacing w:after="0" w:line="14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Company Assistance and Education</w:t>
      </w:r>
    </w:p>
    <w:p>
      <w:pPr>
        <w:spacing w:after="0" w:line="183" w:lineRule="exact"/>
        <w:rPr>
          <w:sz w:val="20"/>
          <w:szCs w:val="20"/>
          <w:color w:val="auto"/>
        </w:rPr>
      </w:pPr>
    </w:p>
    <w:p>
      <w:pPr>
        <w:ind w:right="3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Education</w:t>
      </w:r>
      <w:r>
        <w:rPr>
          <w:rFonts w:ascii="Times New Roman" w:cs="Times New Roman" w:eastAsia="Times New Roman" w:hAnsi="Times New Roman"/>
          <w:sz w:val="22"/>
          <w:szCs w:val="22"/>
          <w:color w:val="auto"/>
        </w:rPr>
        <w:t>. The Company shall take reasonable steps designed to ensure that all Directors and employees of the Company are educated about, and periodically reminded of, the federal securities law restrictions and Company policies regarding insider trading.</w:t>
      </w:r>
    </w:p>
    <w:p>
      <w:pPr>
        <w:spacing w:after="0" w:line="153"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Assistance</w:t>
      </w:r>
      <w:r>
        <w:rPr>
          <w:rFonts w:ascii="Times New Roman" w:cs="Times New Roman" w:eastAsia="Times New Roman" w:hAnsi="Times New Roman"/>
          <w:sz w:val="22"/>
          <w:szCs w:val="22"/>
          <w:color w:val="auto"/>
        </w:rPr>
        <w:t>. The Company shall provide reasonable assistance to all Directors and executive officers, as requested by such Directors and executive officers, in connection with the</w:t>
      </w:r>
    </w:p>
    <w:p>
      <w:pPr>
        <w:sectPr>
          <w:pgSz w:w="11900" w:h="16838" w:orient="portrait"/>
          <w:cols w:equalWidth="0" w:num="1">
            <w:col w:w="11220"/>
          </w:cols>
          <w:pgMar w:left="320" w:top="1422" w:right="359" w:bottom="1440" w:gutter="0" w:footer="0" w:header="0"/>
        </w:sectPr>
      </w:pPr>
    </w:p>
    <w:bookmarkStart w:id="69" w:name="page70"/>
    <w:bookmarkEnd w:id="69"/>
    <w:p>
      <w:pPr>
        <w:ind w:right="320"/>
        <w:spacing w:after="0" w:line="236" w:lineRule="auto"/>
        <w:rPr>
          <w:sz w:val="20"/>
          <w:szCs w:val="20"/>
          <w:color w:val="auto"/>
        </w:rPr>
      </w:pPr>
      <w:r>
        <w:rPr>
          <w:rFonts w:ascii="Times New Roman" w:cs="Times New Roman" w:eastAsia="Times New Roman" w:hAnsi="Times New Roman"/>
          <w:sz w:val="22"/>
          <w:szCs w:val="22"/>
          <w:color w:val="auto"/>
        </w:rPr>
        <w:t>filing of Forms 3, 4 and 5 under Section 16 of the Exchange Act. However, the ultimate responsibility, and liability, for timely filing remains with the Directors and executive officers.</w:t>
      </w:r>
    </w:p>
    <w:p>
      <w:pPr>
        <w:spacing w:after="0" w:line="15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Limitation on Liability</w:t>
      </w:r>
      <w:r>
        <w:rPr>
          <w:rFonts w:ascii="Times New Roman" w:cs="Times New Roman" w:eastAsia="Times New Roman" w:hAnsi="Times New Roman"/>
          <w:sz w:val="22"/>
          <w:szCs w:val="22"/>
          <w:color w:val="auto"/>
        </w:rPr>
        <w:t>. None of the Company, the Chief Financial Officer, the Chief Legal Officer or the Company’s other employees will have any liability for any delay in reviewing, or refusal of, a request for pre-clearance submitted pursuant to Section 3.3(a) or a trading plan submitted pursuant to Section 4.1. Notwithstanding any pre-clearance of a transaction pursuant to Section 3.3(a) or review of a trading plan pursuant to Section 4.1, none of the Company, the Chief Financial Officer, the Chief Legal Officer or the Company’s other employees, assumes any liability for the legality or consequences of such transaction or trading plan to the person engaging in or adopting such transaction or trading plan.</w:t>
      </w:r>
    </w:p>
    <w:p>
      <w:pPr>
        <w:sectPr>
          <w:pgSz w:w="11900" w:h="16838" w:orient="portrait"/>
          <w:cols w:equalWidth="0" w:num="1">
            <w:col w:w="11220"/>
          </w:cols>
          <w:pgMar w:left="320" w:top="1395" w:right="35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Goff, certify that:</w:t>
      </w:r>
    </w:p>
    <w:p>
      <w:pPr>
        <w:spacing w:after="0" w:line="225" w:lineRule="exact"/>
        <w:rPr>
          <w:sz w:val="20"/>
          <w:szCs w:val="20"/>
          <w:color w:val="auto"/>
        </w:rPr>
      </w:pPr>
    </w:p>
    <w:p>
      <w:pPr>
        <w:ind w:left="820" w:hanging="488"/>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Agios Pharmaceuticals, Inc.;</w:t>
      </w:r>
    </w:p>
    <w:p>
      <w:pPr>
        <w:spacing w:after="0" w:line="225" w:lineRule="exact"/>
        <w:rPr>
          <w:rFonts w:ascii="Times New Roman" w:cs="Times New Roman" w:eastAsia="Times New Roman" w:hAnsi="Times New Roman"/>
          <w:sz w:val="18"/>
          <w:szCs w:val="18"/>
          <w:color w:val="auto"/>
        </w:rPr>
      </w:pPr>
    </w:p>
    <w:p>
      <w:pPr>
        <w:ind w:left="820" w:right="20" w:hanging="488"/>
        <w:spacing w:after="0" w:line="266" w:lineRule="auto"/>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80" w:hanging="488"/>
        <w:spacing w:after="0" w:line="282" w:lineRule="auto"/>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820" w:right="140" w:hanging="488"/>
        <w:spacing w:after="0" w:line="276" w:lineRule="auto"/>
        <w:tabs>
          <w:tab w:leader="none" w:pos="8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300" w:right="120" w:hanging="482"/>
        <w:spacing w:after="0" w:line="266" w:lineRule="auto"/>
        <w:tabs>
          <w:tab w:leader="none" w:pos="12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482"/>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482"/>
        <w:spacing w:after="0" w:line="312" w:lineRule="auto"/>
        <w:tabs>
          <w:tab w:leader="none" w:pos="129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482"/>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20" w:right="100" w:hanging="488"/>
        <w:spacing w:after="0" w:line="282" w:lineRule="auto"/>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482"/>
        <w:spacing w:after="0" w:line="282" w:lineRule="auto"/>
        <w:tabs>
          <w:tab w:leader="none" w:pos="12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482"/>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5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Brian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17145</wp:posOffset>
            </wp:positionV>
            <wp:extent cx="2854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Brian Goff</w:t>
      </w:r>
    </w:p>
    <w:p>
      <w:pPr>
        <w:spacing w:after="0" w:line="2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2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Cecilia Jones, certify that:</w:t>
      </w:r>
    </w:p>
    <w:p>
      <w:pPr>
        <w:spacing w:after="0" w:line="225" w:lineRule="exact"/>
        <w:rPr>
          <w:sz w:val="20"/>
          <w:szCs w:val="20"/>
          <w:color w:val="auto"/>
        </w:rPr>
      </w:pPr>
    </w:p>
    <w:p>
      <w:pPr>
        <w:ind w:left="820" w:hanging="488"/>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Agios Pharmaceuticals, Inc.;</w:t>
      </w:r>
    </w:p>
    <w:p>
      <w:pPr>
        <w:spacing w:after="0" w:line="225" w:lineRule="exact"/>
        <w:rPr>
          <w:rFonts w:ascii="Times New Roman" w:cs="Times New Roman" w:eastAsia="Times New Roman" w:hAnsi="Times New Roman"/>
          <w:sz w:val="18"/>
          <w:szCs w:val="18"/>
          <w:color w:val="auto"/>
        </w:rPr>
      </w:pPr>
    </w:p>
    <w:p>
      <w:pPr>
        <w:ind w:left="820" w:right="20" w:hanging="488"/>
        <w:spacing w:after="0" w:line="266"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80" w:hanging="488"/>
        <w:spacing w:after="0" w:line="282"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820" w:right="140" w:hanging="488"/>
        <w:spacing w:after="0" w:line="276" w:lineRule="auto"/>
        <w:tabs>
          <w:tab w:leader="none" w:pos="8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300" w:right="120" w:hanging="482"/>
        <w:spacing w:after="0" w:line="266"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482"/>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482"/>
        <w:spacing w:after="0" w:line="312" w:lineRule="auto"/>
        <w:tabs>
          <w:tab w:leader="none" w:pos="129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482"/>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20" w:right="100" w:hanging="488"/>
        <w:spacing w:after="0" w:line="282"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482"/>
        <w:spacing w:after="0" w:line="282"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482"/>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Cecilia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087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Cecilia Jones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92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Agios Pharmaceuticals, Inc. (the “Company”) for the fiscal quarter ended March 31, 2026, as filed with the Securities and Exchange Commission on the date hereof (the “Report”), the undersigned, Brian Goff, Chief Executive Officer of the Company, hereby certifies, pursuant to 18 U.S.C. Section 1350, that, to his knowledge on the date hereof:</w:t>
      </w:r>
    </w:p>
    <w:p>
      <w:pPr>
        <w:spacing w:after="0" w:line="95" w:lineRule="exact"/>
        <w:rPr>
          <w:sz w:val="20"/>
          <w:szCs w:val="20"/>
          <w:color w:val="auto"/>
        </w:rPr>
      </w:pPr>
    </w:p>
    <w:p>
      <w:pPr>
        <w:ind w:left="820" w:hanging="488"/>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20" w:right="760" w:hanging="488"/>
        <w:spacing w:after="0" w:line="282" w:lineRule="auto"/>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5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Brian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17145</wp:posOffset>
            </wp:positionV>
            <wp:extent cx="2854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Brian Goff</w:t>
      </w:r>
    </w:p>
    <w:p>
      <w:pPr>
        <w:spacing w:after="0" w:line="2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2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Agios Pharmaceuticals, Inc. (the “Company”) for the fiscal quarter ended March 31, 2026, as filed with the Securities and Exchange Commission on the date hereof (the “Report”), the undersigned, Cecilia Jones, Chief Financial Officer of the Company, hereby certifies, pursuant to 18 U.S.C. Section 1350, that, to her knowledge on the date hereof:</w:t>
      </w:r>
    </w:p>
    <w:p>
      <w:pPr>
        <w:spacing w:after="0" w:line="95" w:lineRule="exact"/>
        <w:rPr>
          <w:sz w:val="20"/>
          <w:szCs w:val="20"/>
          <w:color w:val="auto"/>
        </w:rPr>
      </w:pPr>
    </w:p>
    <w:p>
      <w:pPr>
        <w:ind w:left="820" w:hanging="488"/>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20" w:right="760" w:hanging="488"/>
        <w:spacing w:after="0" w:line="282"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Cecilia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14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Cecilia Jones</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Letter"/>
      <w:start w:val="3"/>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decimal"/>
      <w:start w:val="2"/>
    </w:lvl>
    <w:lvl w:ilvl="1">
      <w:lvlJc w:val="left"/>
      <w:lvlText w:val="•"/>
      <w:numFmt w:val="bullet"/>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lowerLetter"/>
      <w:start w:val="2"/>
    </w:lvl>
  </w:abstractNum>
  <w:abstractNum w:abstractNumId="30">
    <w:nsid w:val="5C482A97"/>
    <w:multiLevelType w:val="hybridMultilevel"/>
    <w:lvl w:ilvl="0">
      <w:lvlJc w:val="left"/>
      <w:lvlText w:val="%1."/>
      <w:numFmt w:val="decimal"/>
      <w:start w:val="2"/>
    </w:lvl>
    <w:lvl w:ilvl="1">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decimal"/>
      <w:start w:val="1"/>
    </w:lvl>
    <w:lvl w:ilvl="1">
      <w:lvlJc w:val="left"/>
      <w:lvlText w:val="(%2)"/>
      <w:numFmt w:val="lowerLetter"/>
      <w:start w:val="2"/>
    </w:lvl>
  </w:abstractNum>
  <w:abstractNum w:abstractNumId="35">
    <w:nsid w:val="580BD78F"/>
    <w:multiLevelType w:val="hybridMultilevel"/>
    <w:lvl w:ilvl="0">
      <w:lvlJc w:val="left"/>
      <w:lvlText w:val="%1."/>
      <w:numFmt w:val="decimal"/>
      <w:start w:val="4"/>
    </w:lvl>
    <w:lvl w:ilvl="1">
      <w:lvlJc w:val="left"/>
      <w:lvlText w:val="%2"/>
      <w:numFmt w:val="lowerLetter"/>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5"/>
    </w:lvl>
  </w:abstractNum>
  <w:abstractNum w:abstractNumId="39">
    <w:nsid w:val="6A2342EC"/>
    <w:multiLevelType w:val="hybridMultilevel"/>
    <w:lvl w:ilvl="0">
      <w:lvlJc w:val="left"/>
      <w:lvlText w:val="%1."/>
      <w:numFmt w:val="decimal"/>
      <w:start w:val="6"/>
    </w:lvl>
  </w:abstractNum>
  <w:abstractNum w:abstractNumId="40">
    <w:nsid w:val="2A487CB0"/>
    <w:multiLevelType w:val="hybridMultilevel"/>
    <w:lvl w:ilvl="0">
      <w:lvlJc w:val="left"/>
      <w:lvlText w:val="%1."/>
      <w:numFmt w:val="decimal"/>
      <w:start w:val="7"/>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33" Type="http://schemas.openxmlformats.org/officeDocument/2006/relationships/hyperlink" Target="https://www.sec.gov/Archives/edgar/data/1439222/000119312513307909/d574969dex31.htm" TargetMode="External"/><Relationship Id="rId134" Type="http://schemas.openxmlformats.org/officeDocument/2006/relationships/hyperlink" Target="https://www.sec.gov/Archives/edgar/data/1439222/000119312523060031/d63802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2026-04-29T08:42:55Z</dcterms:created>
  <dcterms:modified xsi:type="dcterms:W3CDTF">2026-04-29T08:42:55Z</dcterms:modified>
</cp:coreProperties>
</file>