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AGIOS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04/29/2026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Lynx1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3,013,949.00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3,013,949.00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3,013,949.00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Weston Nichols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3,013,949.00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3,013,949.00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3,013,949.00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76"/>
        <w:gridCol w:w="8974"/>
        <w:gridCol w:w="155"/>
      </w:tblGrid>
      <w:tr>
        <w:trPr/>
        <w:tc>
          <w:tcPr>
            <w:tcW w:w="1076" w:type="dxa"/>
            <w:tcBorders/>
            <w:vAlign w:val="center"/>
          </w:tcPr>
          <w:p>
            <w:pPr>
              <w:pStyle w:val="TableContents"/>
              <w:bidi w:val="0"/>
              <w:spacing w:before="0" w:after="283"/>
              <w:jc w:val="left"/>
              <w:rPr/>
            </w:pPr>
            <w:r>
              <w:rPr/>
              <w:t>Item 1.</w:t>
            </w:r>
          </w:p>
        </w:tc>
        <w:tc>
          <w:tcPr>
            <w:tcW w:w="89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jc w:val="left"/>
              <w:rPr/>
            </w:pPr>
            <w:r>
              <w:rPr/>
              <w:t xml:space="preserve">Name of issuer: </w:t>
            </w:r>
          </w:p>
          <w:p>
            <w:pPr>
              <w:pStyle w:val="TableContents"/>
              <w:bidi w:val="0"/>
              <w:spacing w:before="0" w:after="0"/>
              <w:jc w:val="left"/>
              <w:rPr/>
            </w:pPr>
            <w:r>
              <w:rPr/>
              <w:t>AGIOS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88 Sidney Street, Cambridge, Massachusetts 02139.</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2.</w:t>
            </w:r>
          </w:p>
        </w:tc>
        <w:tc>
          <w:tcPr>
            <w:tcW w:w="897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Lynx1 Capital Management LP (the "Investment Manager"), a Delaware limited partnership, and the investment manager to Lynx1 Master Fund LP (the "Lynx1 Fund"), with respect to the shares of common stock, par value $0.001 per share ("Common Stock") of Agios Pharmaceuticals, Inc., a Massachusetts corporation (the "Company"), directly held by the Lynx1 Fund; and (ii) Mr. Weston Nichols ("Mr. Nichols"), the sole member of Lynx1 Capital Management GP LLC, the general partner of the Investment Manager, with respect to the shares of Common Stock directly held by the Lynx1 Fund.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Lynx1 Capital Management LP D81 Calle C Suite 301, PMB 1202 Dorado, PR, 00646-2051 Weston Nichols c/o Lynx1 Capital Management LP D81 Calle C Suite 301, PMB 1202 Dorado, PR, 00646-2051</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(c)</w:t>
            </w:r>
          </w:p>
        </w:tc>
        <w:tc>
          <w:tcPr>
            <w:tcW w:w="8974" w:type="dxa"/>
            <w:tcBorders/>
            <w:vAlign w:val="center"/>
          </w:tcPr>
          <w:p>
            <w:pPr>
              <w:pStyle w:val="TableContents"/>
              <w:bidi w:val="0"/>
              <w:jc w:val="left"/>
              <w:rPr/>
            </w:pPr>
            <w:r>
              <w:rPr/>
              <w:t xml:space="preserve">Citizenship: </w:t>
            </w:r>
          </w:p>
          <w:p>
            <w:pPr>
              <w:pStyle w:val="TableContents"/>
              <w:bidi w:val="0"/>
              <w:spacing w:before="0" w:after="0"/>
              <w:jc w:val="left"/>
              <w:rPr/>
            </w:pPr>
            <w:r>
              <w:rPr/>
              <w:t>Investment Manager - Delaware Mr. Nichols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(d)</w:t>
            </w:r>
          </w:p>
        </w:tc>
        <w:tc>
          <w:tcPr>
            <w:tcW w:w="897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(e)</w:t>
            </w:r>
          </w:p>
        </w:tc>
        <w:tc>
          <w:tcPr>
            <w:tcW w:w="897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3.</w:t>
            </w:r>
          </w:p>
        </w:tc>
        <w:tc>
          <w:tcPr>
            <w:tcW w:w="897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(c)</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(d)</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(e)</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(f)</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(g)</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(h)</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(j)</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(k)</w:t>
            </w:r>
          </w:p>
        </w:tc>
        <w:tc>
          <w:tcPr>
            <w:tcW w:w="897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9129" w:type="dxa"/>
            <w:gridSpan w:val="2"/>
            <w:tcBorders/>
            <w:vAlign w:val="center"/>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4.</w:t>
            </w:r>
          </w:p>
        </w:tc>
        <w:tc>
          <w:tcPr>
            <w:tcW w:w="897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(a)</w:t>
            </w:r>
          </w:p>
        </w:tc>
        <w:tc>
          <w:tcPr>
            <w:tcW w:w="897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59,471,609 shares of Common Stock outstanding as of April 24, 2026, as reported in the Company's Quarterly Report on Form 10-Q for the quarterly period ended March 31, 2026, filed with the Securities and Exchange Commission on April 29, 2026.</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(b)</w:t>
            </w:r>
          </w:p>
        </w:tc>
        <w:tc>
          <w:tcPr>
            <w:tcW w:w="897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(c)</w:t>
            </w:r>
          </w:p>
        </w:tc>
        <w:tc>
          <w:tcPr>
            <w:tcW w:w="897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5.</w:t>
            </w:r>
          </w:p>
        </w:tc>
        <w:tc>
          <w:tcPr>
            <w:tcW w:w="897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6.</w:t>
            </w:r>
          </w:p>
        </w:tc>
        <w:tc>
          <w:tcPr>
            <w:tcW w:w="897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Lynx1 Fund has the right to receive or the power to direct the receipt of dividends from, or the proceeds from the sale of, the shares of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7.</w:t>
            </w:r>
          </w:p>
        </w:tc>
        <w:tc>
          <w:tcPr>
            <w:tcW w:w="897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8.</w:t>
            </w:r>
          </w:p>
        </w:tc>
        <w:tc>
          <w:tcPr>
            <w:tcW w:w="897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Item 9.</w:t>
            </w:r>
          </w:p>
        </w:tc>
        <w:tc>
          <w:tcPr>
            <w:tcW w:w="897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6" w:type="dxa"/>
            <w:tcBorders/>
            <w:vAlign w:val="center"/>
          </w:tcPr>
          <w:p>
            <w:pPr>
              <w:pStyle w:val="TableContents"/>
              <w:bidi w:val="0"/>
              <w:spacing w:before="0" w:after="283"/>
              <w:jc w:val="left"/>
              <w:rPr/>
            </w:pPr>
            <w:r>
              <w:rPr/>
              <w:t> </w:t>
            </w:r>
          </w:p>
        </w:tc>
        <w:tc>
          <w:tcPr>
            <w:tcW w:w="897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78" w:type="dxa"/>
        <w:jc w:val="left"/>
        <w:tblInd w:w="0" w:type="dxa"/>
        <w:tblLayout w:type="fixed"/>
        <w:tblCellMar>
          <w:top w:w="28" w:type="dxa"/>
          <w:left w:w="28" w:type="dxa"/>
          <w:bottom w:w="28" w:type="dxa"/>
          <w:right w:w="28" w:type="dxa"/>
        </w:tblCellMar>
      </w:tblPr>
      <w:tblGrid>
        <w:gridCol w:w="3289"/>
        <w:gridCol w:w="3289"/>
      </w:tblGrid>
      <w:tr>
        <w:trPr/>
        <w:tc>
          <w:tcPr>
            <w:tcW w:w="3289" w:type="dxa"/>
            <w:tcBorders/>
            <w:vAlign w:val="center"/>
          </w:tcPr>
          <w:p>
            <w:pPr>
              <w:pStyle w:val="TableContents"/>
              <w:bidi w:val="0"/>
              <w:spacing w:before="0" w:after="0"/>
              <w:jc w:val="left"/>
              <w:rPr/>
            </w:pPr>
            <w:r>
              <w:rPr/>
              <w:t> </w:t>
            </w:r>
          </w:p>
          <w:tbl>
            <w:tblPr>
              <w:tblW w:w="3166" w:type="dxa"/>
              <w:jc w:val="left"/>
              <w:tblInd w:w="0" w:type="dxa"/>
              <w:tblLayout w:type="fixed"/>
              <w:tblCellMar>
                <w:top w:w="28" w:type="dxa"/>
                <w:left w:w="28" w:type="dxa"/>
                <w:bottom w:w="28" w:type="dxa"/>
                <w:right w:w="28" w:type="dxa"/>
              </w:tblCellMar>
            </w:tblPr>
            <w:tblGrid>
              <w:gridCol w:w="3166"/>
            </w:tblGrid>
            <w:tr>
              <w:trPr/>
              <w:tc>
                <w:tcPr>
                  <w:tcW w:w="3166" w:type="dxa"/>
                  <w:tcBorders/>
                  <w:vAlign w:val="center"/>
                </w:tcPr>
                <w:p>
                  <w:pPr>
                    <w:pStyle w:val="TableContents"/>
                    <w:bidi w:val="0"/>
                    <w:spacing w:before="0" w:after="0"/>
                    <w:jc w:val="left"/>
                    <w:rPr/>
                  </w:pPr>
                  <w:r>
                    <w:rPr/>
                    <w:t>Lynx1 Capital Management LP</w:t>
                  </w:r>
                </w:p>
              </w:tc>
            </w:tr>
          </w:tbl>
          <w:p>
            <w:pPr>
              <w:pStyle w:val="TableContents"/>
              <w:bidi w:val="0"/>
              <w:spacing w:before="0" w:after="283"/>
              <w:jc w:val="left"/>
              <w:rPr/>
            </w:pPr>
            <w:r>
              <w:rPr/>
            </w:r>
          </w:p>
        </w:tc>
        <w:tc>
          <w:tcPr>
            <w:tcW w:w="32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Weston Nichols</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Lynx1 Capital Management GP LLC, General Partner, By: Weston Nichols, Sole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Weston Nichols</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8"/>
        <w:gridCol w:w="4397"/>
      </w:tblGrid>
      <w:tr>
        <w:trPr/>
        <w:tc>
          <w:tcPr>
            <w:tcW w:w="58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Weston Nichols</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Weston Nichols, Individually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05/06/2026</w:t>
                  </w:r>
                </w:p>
              </w:tc>
            </w:tr>
          </w:tbl>
          <w:p>
            <w:pPr>
              <w:pStyle w:val="TableContents"/>
              <w:bidi w:val="0"/>
              <w:spacing w:before="0" w:after="283"/>
              <w:jc w:val="left"/>
              <w:rPr/>
            </w:pPr>
            <w:r>
              <w:rPr/>
            </w:r>
          </w:p>
        </w:tc>
        <w:tc>
          <w:tcPr>
            <w:tcW w:w="4397" w:type="dxa"/>
            <w:tcBorders/>
            <w:vAlign w:val="center"/>
          </w:tcPr>
          <w:p>
            <w:pPr>
              <w:pStyle w:val="TableContents"/>
              <w:bidi w:val="0"/>
              <w:spacing w:before="0" w:after="283"/>
              <w:jc w:val="left"/>
              <w:rPr>
                <w:sz w:val="4"/>
                <w:szCs w:val="4"/>
              </w:rPr>
            </w:pPr>
            <w:r>
              <w:rPr>
                <w:sz w:val="4"/>
                <w:szCs w:val="4"/>
              </w:rPr>
            </w:r>
          </w:p>
        </w:tc>
      </w:tr>
    </w:tbl>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283"/>
              <w:jc w:val="center"/>
              <w:rPr>
                <w:b/>
              </w:rPr>
            </w:pPr>
            <w:r>
              <w:rPr>
                <w:b/>
              </w:rPr>
              <w:t xml:space="preserve">Exhibit Information </w:t>
            </w:r>
          </w:p>
        </w:tc>
      </w:tr>
      <w:tr>
        <w:trPr/>
        <w:tc>
          <w:tcPr>
            <w:tcW w:w="4126" w:type="dxa"/>
            <w:tcBorders/>
            <w:vAlign w:val="center"/>
          </w:tcPr>
          <w:p>
            <w:pPr>
              <w:pStyle w:val="TableContents"/>
              <w:bidi w:val="0"/>
              <w:spacing w:before="0" w:after="283"/>
              <w:jc w:val="left"/>
              <w:rPr/>
            </w:pPr>
            <w:r>
              <w:rPr/>
              <w:t>Exhibit 99.1 - Joint Acquisition Statement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0" w:name="p26-1111exhibit99_1.htm"/>
      <w:bookmarkStart w:id="21" w:name="ksp261111exhibit99_1"/>
      <w:bookmarkEnd w:id="20"/>
      <w:bookmarkEnd w:id="21"/>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May 6, 2026</w:t>
      </w:r>
    </w:p>
    <w:p>
      <w:pPr>
        <w:pStyle w:val="TextBody"/>
        <w:bidi w:val="0"/>
        <w:jc w:val="left"/>
        <w:rPr>
          <w:caps w:val="false"/>
          <w:smallCaps w:val="false"/>
        </w:rPr>
      </w:pPr>
      <w:r>
        <w:rPr>
          <w:caps w:val="false"/>
          <w:smallCaps w:val="false"/>
        </w:rPr>
        <w:t> </w:t>
      </w:r>
    </w:p>
    <w:tbl>
      <w:tblPr>
        <w:tblW w:w="5570" w:type="dxa"/>
        <w:jc w:val="left"/>
        <w:tblInd w:w="0" w:type="dxa"/>
        <w:tblLayout w:type="fixed"/>
        <w:tblCellMar>
          <w:top w:w="0" w:type="dxa"/>
          <w:left w:w="0" w:type="dxa"/>
          <w:bottom w:w="0" w:type="dxa"/>
          <w:right w:w="0" w:type="dxa"/>
        </w:tblCellMar>
      </w:tblPr>
      <w:tblGrid>
        <w:gridCol w:w="75"/>
        <w:gridCol w:w="60"/>
        <w:gridCol w:w="5435"/>
      </w:tblGrid>
      <w:tr>
        <w:trPr/>
        <w:tc>
          <w:tcPr>
            <w:tcW w:w="135" w:type="dxa"/>
            <w:gridSpan w:val="2"/>
            <w:tcBorders/>
            <w:vAlign w:val="center"/>
          </w:tcPr>
          <w:p>
            <w:pPr>
              <w:pStyle w:val="TableContents"/>
              <w:bidi w:val="0"/>
              <w:spacing w:before="0" w:after="283"/>
              <w:jc w:val="left"/>
              <w:rPr/>
            </w:pPr>
            <w:r>
              <w:rPr/>
              <w:t> </w:t>
            </w:r>
          </w:p>
        </w:tc>
        <w:tc>
          <w:tcPr>
            <w:tcW w:w="543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LYNX1 CAPITAL MANAGEMENT LP</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Lynx1 Capital Management GP LLC, General Partner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By:  </w:t>
            </w:r>
            <w:r>
              <w:rPr>
                <w:u w:val="single"/>
              </w:rPr>
              <w:t>/s/ Weston Nichols  </w:t>
              <w:tab/>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Name:  Weston Nichols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Title:    Sole Member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pPr>
            <w:r>
              <w:rPr/>
              <w:t> </w:t>
            </w:r>
          </w:p>
        </w:tc>
      </w:tr>
      <w:tr>
        <w:trPr/>
        <w:tc>
          <w:tcPr>
            <w:tcW w:w="135" w:type="dxa"/>
            <w:gridSpan w:val="2"/>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u w:val="single"/>
              </w:rPr>
            </w:pPr>
            <w:r>
              <w:rPr>
                <w:u w:val="single"/>
              </w:rPr>
              <w:t>/s/ Weston Nichols</w:t>
              <w:tab/>
              <w:tab/>
            </w:r>
          </w:p>
        </w:tc>
      </w:tr>
      <w:tr>
        <w:trPr/>
        <w:tc>
          <w:tcPr>
            <w:tcW w:w="135" w:type="dxa"/>
            <w:gridSpan w:val="2"/>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283"/>
              <w:jc w:val="left"/>
              <w:rPr>
                <w:caps/>
              </w:rPr>
            </w:pPr>
            <w:r>
              <w:rPr>
                <w:caps/>
              </w:rPr>
              <w:t>WESTON NICHOLS</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1510</Words>
  <Characters>7742</Characters>
  <CharactersWithSpaces>9245</CharactersWithSpaces>
  <Paragraphs>242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