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Agios Pharmaceuticals,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217170</wp:posOffset>
            </wp:positionV>
            <wp:extent cx="257175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88 Sidney Street, Cambridge, Massachusetts 02139</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TO BE HELD ON THURSDAY, JUNE 18, 2026</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Dear Stockholder:</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You are cordially invited to our Annual Meeting of Stockholders. The meeting will be a virtual meeting held via the internet on Thursday, June 18, 2026, beginning at 9:00 a.m., Eastern Time.</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meeting will be held for the following purposes:</w:t>
      </w:r>
    </w:p>
    <w:p>
      <w:pPr>
        <w:spacing w:after="0" w:line="215" w:lineRule="exact"/>
        <w:rPr>
          <w:sz w:val="20"/>
          <w:szCs w:val="20"/>
          <w:color w:val="auto"/>
        </w:rPr>
      </w:pPr>
    </w:p>
    <w:p>
      <w:pPr>
        <w:ind w:left="880" w:right="120" w:hanging="332"/>
        <w:spacing w:after="0" w:line="261" w:lineRule="auto"/>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each of the three Class I director nominees set forth in the Proxy Statement, each to serve for a three-year term expiring at the 2029 annual meeting of stockholders and until his or her respective successor is duly elected and qualified;</w:t>
      </w:r>
    </w:p>
    <w:p>
      <w:pPr>
        <w:spacing w:after="0" w:line="189" w:lineRule="exact"/>
        <w:rPr>
          <w:rFonts w:ascii="Times New Roman" w:cs="Times New Roman" w:eastAsia="Times New Roman" w:hAnsi="Times New Roman"/>
          <w:sz w:val="14"/>
          <w:szCs w:val="14"/>
          <w:color w:val="auto"/>
        </w:rPr>
      </w:pPr>
    </w:p>
    <w:p>
      <w:pPr>
        <w:ind w:left="880" w:hanging="332"/>
        <w:spacing w:after="0"/>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on an advisory basis, to approve the compensation paid to our named executive officers;</w:t>
      </w:r>
    </w:p>
    <w:p>
      <w:pPr>
        <w:spacing w:after="0" w:line="230" w:lineRule="exact"/>
        <w:rPr>
          <w:rFonts w:ascii="Times New Roman" w:cs="Times New Roman" w:eastAsia="Times New Roman" w:hAnsi="Times New Roman"/>
          <w:sz w:val="14"/>
          <w:szCs w:val="14"/>
          <w:color w:val="auto"/>
        </w:rPr>
      </w:pPr>
    </w:p>
    <w:p>
      <w:pPr>
        <w:ind w:left="880" w:right="20" w:hanging="332"/>
        <w:spacing w:after="0" w:line="261" w:lineRule="auto"/>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Agios Pharmaceuticals, Inc. 2023 Stock Incentive Plan, as Amended, to increase the number of shares of common stock available thereunder by 2,000,000 shares;</w:t>
      </w:r>
    </w:p>
    <w:p>
      <w:pPr>
        <w:spacing w:after="0" w:line="189" w:lineRule="exact"/>
        <w:rPr>
          <w:rFonts w:ascii="Times New Roman" w:cs="Times New Roman" w:eastAsia="Times New Roman" w:hAnsi="Times New Roman"/>
          <w:sz w:val="14"/>
          <w:szCs w:val="14"/>
          <w:color w:val="auto"/>
        </w:rPr>
      </w:pPr>
    </w:p>
    <w:p>
      <w:pPr>
        <w:ind w:left="880" w:hanging="332"/>
        <w:spacing w:after="0"/>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PricewaterhouseCoopers LLP as our independent registered public accounting firm for the fiscal year ending December 31, 2026; and</w:t>
      </w:r>
    </w:p>
    <w:p>
      <w:pPr>
        <w:spacing w:after="0" w:line="230" w:lineRule="exact"/>
        <w:rPr>
          <w:rFonts w:ascii="Times New Roman" w:cs="Times New Roman" w:eastAsia="Times New Roman" w:hAnsi="Times New Roman"/>
          <w:sz w:val="14"/>
          <w:szCs w:val="14"/>
          <w:color w:val="auto"/>
        </w:rPr>
      </w:pPr>
    </w:p>
    <w:p>
      <w:pPr>
        <w:ind w:left="880" w:hanging="332"/>
        <w:spacing w:after="0"/>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be properly brought before the meeting or any adjournment or postponement thereof.</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Our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for consideration at the online meeting. Stockholders of record as of the close of business on April 21, 2026 are entitled to vote at the meeting. In order to attend the meeting online, vote your shares electronically during the meeting and submit questions, you must register in advance at www.proxydocs.com/AGIO prior to the deadline of June 16, 2026 at 5:00 p.m., Eastern Time. Upon completing your registration, you will receive further instructions via email, including your unique links that will allow you access to the meeting and will also permit you to submit questions. Please be sure to follow instructions found on your Notice of Internet Availability of Proxy Materials, proxy card and/or voting instruction form and subsequent instructions that will be delivered to you via email. We believe that hosting a “virtual meeting” will enable greater stockholder attendance and participation from any location around the world.</w:t>
      </w:r>
    </w:p>
    <w:p>
      <w:pPr>
        <w:spacing w:after="0" w:line="277" w:lineRule="exact"/>
        <w:rPr>
          <w:sz w:val="20"/>
          <w:szCs w:val="20"/>
          <w:color w:val="auto"/>
        </w:rPr>
      </w:pPr>
    </w:p>
    <w:p>
      <w:pPr>
        <w:ind w:left="120"/>
        <w:spacing w:after="0" w:line="228" w:lineRule="auto"/>
        <w:rPr>
          <w:sz w:val="20"/>
          <w:szCs w:val="20"/>
          <w:color w:val="auto"/>
        </w:rPr>
      </w:pPr>
      <w:r>
        <w:rPr>
          <w:rFonts w:ascii="Times New Roman" w:cs="Times New Roman" w:eastAsia="Times New Roman" w:hAnsi="Times New Roman"/>
          <w:sz w:val="14"/>
          <w:szCs w:val="14"/>
          <w:color w:val="auto"/>
        </w:rPr>
        <w:t>At Agios we are keenly focused on the contribution we can make to environmental sustainability. Instead of mailing a paper copy of our proxy materials to all of our stockholders, this year we are again providing access to our proxy materials over the internet under the U.S. Securities and Exchange Commission’s “notice and access” rules. As a result, we are mailing to our stockholders a Notice of Internet Availability of Proxy Materials (the “Notice”) instead of a paper copy of this Proxy Statement and our Annual Report for the fiscal year ended December 31, 2025 (the “2025 Annual Report”). We are mailing the Notice on or about April 24, 2026, and it contains instructions on how to access our proxy materials over the internet. The Notice also contains instructions on how each of our stockholders can receive a paper copy of our proxy materials, including this Proxy Statement, our 2025 Annual Report, and a form of proxy card.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181"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4"/>
          <w:szCs w:val="14"/>
          <w:color w:val="auto"/>
        </w:rPr>
        <w:t>We encourage all stockholders to attend the Annual Meeting online. Whether or not you plan to attend the Annual Meeting online, we encourage you to read this Proxy Statement and submit your proxy or voting instructions as soon as possible by using the internet as described in the instructions included on your Notice, by calling the toll-free telephone number included in the Proxy Statement, or, if you received a paper copy of the proxy materials, by completing, signing, dating and returning your proxy card. Further information about how to register for the Annual Meeting, attend the Annual Meeting online, vote your shares and submit questions for consideration at the meeting is included in the accompanying Proxy Statement.</w:t>
      </w:r>
    </w:p>
    <w:p>
      <w:pPr>
        <w:spacing w:after="0" w:line="177"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4"/>
          <w:szCs w:val="14"/>
          <w:color w:val="auto"/>
        </w:rPr>
        <w:t>A complete list of registered stockholders will be available to stockholders of record for examination at www.proxydocs.com/AGIO during the 10-day period ending on the day before the Annual Meeting</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Thank you for your ongoing support and continued interest in Agios Pharmaceuticals, Inc.</w:t>
      </w:r>
    </w:p>
    <w:p>
      <w:pPr>
        <w:spacing w:after="0" w:line="20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160655</wp:posOffset>
            </wp:positionV>
            <wp:extent cx="56578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Brian Goff</w:t>
      </w:r>
    </w:p>
    <w:p>
      <w:pPr>
        <w:ind w:left="6080"/>
        <w:spacing w:after="0" w:line="226" w:lineRule="auto"/>
        <w:rPr>
          <w:sz w:val="20"/>
          <w:szCs w:val="20"/>
          <w:color w:val="auto"/>
        </w:rPr>
      </w:pPr>
      <w:r>
        <w:rPr>
          <w:rFonts w:ascii="Times New Roman" w:cs="Times New Roman" w:eastAsia="Times New Roman" w:hAnsi="Times New Roman"/>
          <w:sz w:val="14"/>
          <w:szCs w:val="14"/>
          <w:i w:val="1"/>
          <w:iCs w:val="1"/>
          <w:color w:val="auto"/>
        </w:rPr>
        <w:t>Chief Executive Officer</w:t>
      </w:r>
    </w:p>
    <w:p>
      <w:pPr>
        <w:ind w:left="120"/>
        <w:spacing w:after="0" w:line="222" w:lineRule="auto"/>
        <w:rPr>
          <w:sz w:val="20"/>
          <w:szCs w:val="20"/>
          <w:color w:val="auto"/>
        </w:rPr>
      </w:pPr>
      <w:r>
        <w:rPr>
          <w:rFonts w:ascii="Times New Roman" w:cs="Times New Roman" w:eastAsia="Times New Roman" w:hAnsi="Times New Roman"/>
          <w:sz w:val="14"/>
          <w:szCs w:val="14"/>
          <w:color w:val="auto"/>
        </w:rPr>
        <w:t>Cambridge, Massachusetts</w:t>
      </w:r>
    </w:p>
    <w:p>
      <w:pPr>
        <w:ind w:left="120"/>
        <w:spacing w:after="0"/>
        <w:rPr>
          <w:sz w:val="20"/>
          <w:szCs w:val="20"/>
          <w:color w:val="auto"/>
        </w:rPr>
      </w:pPr>
      <w:r>
        <w:rPr>
          <w:rFonts w:ascii="Times New Roman" w:cs="Times New Roman" w:eastAsia="Times New Roman" w:hAnsi="Times New Roman"/>
          <w:sz w:val="14"/>
          <w:szCs w:val="14"/>
          <w:color w:val="auto"/>
        </w:rPr>
        <w:t>April 24, 2026</w:t>
      </w:r>
    </w:p>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June 18, 2026: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Statement and our 2025 Annual Report to Stockholders are available at </w:t>
      </w:r>
      <w:r>
        <w:rPr>
          <w:rFonts w:ascii="Times New Roman" w:cs="Times New Roman" w:eastAsia="Times New Roman" w:hAnsi="Times New Roman"/>
          <w:sz w:val="18"/>
          <w:szCs w:val="18"/>
          <w:i w:val="1"/>
          <w:iCs w:val="1"/>
          <w:color w:val="auto"/>
        </w:rPr>
        <w:t>www.proxydocs.com/AGIO</w:t>
      </w:r>
      <w:r>
        <w:rPr>
          <w:rFonts w:ascii="Times New Roman" w:cs="Times New Roman" w:eastAsia="Times New Roman" w:hAnsi="Times New Roman"/>
          <w:sz w:val="18"/>
          <w:szCs w:val="18"/>
          <w:color w:val="auto"/>
        </w:rPr>
        <w:t xml:space="preserve">. These documents are also available to any stockholder who wishes to receive a paper copy by calling (866) 648-8133, visiting </w:t>
      </w:r>
      <w:r>
        <w:rPr>
          <w:rFonts w:ascii="Times New Roman" w:cs="Times New Roman" w:eastAsia="Times New Roman" w:hAnsi="Times New Roman"/>
          <w:sz w:val="18"/>
          <w:szCs w:val="18"/>
          <w:i w:val="1"/>
          <w:iCs w:val="1"/>
          <w:color w:val="auto"/>
        </w:rPr>
        <w:t>www.investorelections.com/AGIO</w:t>
      </w:r>
      <w:r>
        <w:rPr>
          <w:rFonts w:ascii="Times New Roman" w:cs="Times New Roman" w:eastAsia="Times New Roman" w:hAnsi="Times New Roman"/>
          <w:sz w:val="18"/>
          <w:szCs w:val="18"/>
          <w:color w:val="auto"/>
        </w:rPr>
        <w:t xml:space="preserve"> or emailing paper@investorelections.com.</w:t>
      </w:r>
    </w:p>
    <w:p>
      <w:pPr>
        <w:sectPr>
          <w:pgSz w:w="11900" w:h="16838" w:orient="portrait"/>
          <w:cols w:equalWidth="0" w:num="1">
            <w:col w:w="10840"/>
          </w:cols>
          <w:pgMar w:left="320" w:top="482"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2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51"/>
        </w:trPr>
        <w:tc>
          <w:tcPr>
            <w:tcW w:w="120" w:type="dxa"/>
            <w:vAlign w:val="bottom"/>
          </w:tcPr>
          <w:p>
            <w:pPr>
              <w:spacing w:after="0"/>
              <w:rPr>
                <w:sz w:val="24"/>
                <w:szCs w:val="24"/>
                <w:color w:val="auto"/>
              </w:rPr>
            </w:pPr>
          </w:p>
        </w:tc>
        <w:tc>
          <w:tcPr>
            <w:tcW w:w="62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PROXY STATEMENT FOR THE 2026 ANNUAL MEETING OF STOCKHOLDERS</w:t>
            </w:r>
          </w:p>
        </w:tc>
        <w:tc>
          <w:tcPr>
            <w:tcW w:w="4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1"/>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GENERAL INFORMATION ABOUT THE ANNUAL MEETING AND VOTING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120" w:type="dxa"/>
            <w:vAlign w:val="bottom"/>
          </w:tcPr>
          <w:p>
            <w:pPr>
              <w:spacing w:after="0"/>
              <w:rPr>
                <w:sz w:val="24"/>
                <w:szCs w:val="24"/>
                <w:color w:val="auto"/>
              </w:rPr>
            </w:pPr>
          </w:p>
        </w:tc>
        <w:tc>
          <w:tcPr>
            <w:tcW w:w="60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STOCKHOLDERS SHARING THE SAME ADDRESS</w:t>
            </w:r>
          </w:p>
        </w:tc>
        <w:tc>
          <w:tcPr>
            <w:tcW w:w="42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72"/>
        </w:trPr>
        <w:tc>
          <w:tcPr>
            <w:tcW w:w="12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DELINQUENT SECTION 16(a) REPORTS</w:t>
            </w:r>
          </w:p>
        </w:tc>
        <w:tc>
          <w:tcPr>
            <w:tcW w:w="3520" w:type="dxa"/>
            <w:vAlign w:val="bottom"/>
            <w:tcBorders>
              <w:top w:val="single" w:sz="8" w:color="0000EE"/>
            </w:tcBorders>
            <w:gridSpan w:val="8"/>
          </w:tcPr>
          <w:p>
            <w:pPr>
              <w:spacing w:after="0"/>
              <w:rPr>
                <w:sz w:val="24"/>
                <w:szCs w:val="24"/>
                <w:color w:val="auto"/>
              </w:rPr>
            </w:pPr>
          </w:p>
        </w:tc>
        <w:tc>
          <w:tcPr>
            <w:tcW w:w="35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71"/>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72"/>
        </w:trPr>
        <w:tc>
          <w:tcPr>
            <w:tcW w:w="12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1000" w:type="dxa"/>
            <w:vAlign w:val="bottom"/>
            <w:tcBorders>
              <w:top w:val="single" w:sz="8" w:color="0000EE"/>
            </w:tcBorders>
            <w:gridSpan w:val="4"/>
          </w:tcPr>
          <w:p>
            <w:pPr>
              <w:spacing w:after="0"/>
              <w:rPr>
                <w:sz w:val="24"/>
                <w:szCs w:val="24"/>
                <w:color w:val="auto"/>
              </w:rPr>
            </w:pPr>
          </w:p>
        </w:tc>
        <w:tc>
          <w:tcPr>
            <w:tcW w:w="694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72"/>
        </w:trPr>
        <w:tc>
          <w:tcPr>
            <w:tcW w:w="120" w:type="dxa"/>
            <w:vAlign w:val="bottom"/>
          </w:tcPr>
          <w:p>
            <w:pPr>
              <w:spacing w:after="0"/>
              <w:rPr>
                <w:sz w:val="24"/>
                <w:szCs w:val="24"/>
                <w:color w:val="auto"/>
              </w:rPr>
            </w:pPr>
          </w:p>
        </w:tc>
        <w:tc>
          <w:tcPr>
            <w:tcW w:w="1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838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2"/>
        </w:trPr>
        <w:tc>
          <w:tcPr>
            <w:tcW w:w="120" w:type="dxa"/>
            <w:vAlign w:val="bottom"/>
          </w:tcPr>
          <w:p>
            <w:pPr>
              <w:spacing w:after="0"/>
              <w:rPr>
                <w:sz w:val="24"/>
                <w:szCs w:val="24"/>
                <w:color w:val="auto"/>
              </w:rPr>
            </w:pP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784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71"/>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2"/>
        </w:trPr>
        <w:tc>
          <w:tcPr>
            <w:tcW w:w="120" w:type="dxa"/>
            <w:vAlign w:val="bottom"/>
          </w:tcPr>
          <w:p>
            <w:pPr>
              <w:spacing w:after="0"/>
              <w:rPr>
                <w:sz w:val="24"/>
                <w:szCs w:val="24"/>
                <w:color w:val="auto"/>
              </w:rPr>
            </w:pPr>
          </w:p>
        </w:tc>
        <w:tc>
          <w:tcPr>
            <w:tcW w:w="546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48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3: APPROVAL OF AN AMENDMENT TO THE AGIOS PHARMACEUTICALS, INC. 2023 STOCK INCENTIVE PLAN,</w:t>
            </w:r>
          </w:p>
        </w:tc>
        <w:tc>
          <w:tcPr>
            <w:tcW w:w="6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AS AMENDED</w:t>
            </w:r>
          </w:p>
        </w:tc>
        <w:tc>
          <w:tcPr>
            <w:tcW w:w="8620" w:type="dxa"/>
            <w:vAlign w:val="bottom"/>
            <w:tcBorders>
              <w:top w:val="single" w:sz="8" w:color="0000EE"/>
            </w:tcBorders>
            <w:gridSpan w:val="17"/>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372"/>
        </w:trPr>
        <w:tc>
          <w:tcPr>
            <w:tcW w:w="120" w:type="dxa"/>
            <w:vAlign w:val="bottom"/>
          </w:tcPr>
          <w:p>
            <w:pPr>
              <w:spacing w:after="0"/>
              <w:rPr>
                <w:sz w:val="24"/>
                <w:szCs w:val="24"/>
                <w:color w:val="auto"/>
              </w:rPr>
            </w:pPr>
          </w:p>
        </w:tc>
        <w:tc>
          <w:tcPr>
            <w:tcW w:w="8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PROPOSAL 4: RATIFICATION OF SELECTION OF INDEPENDENT REGISTERED PUBLIC ACCOUNTANTS</w:t>
            </w:r>
          </w:p>
        </w:tc>
        <w:tc>
          <w:tcPr>
            <w:tcW w:w="184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71"/>
        </w:trPr>
        <w:tc>
          <w:tcPr>
            <w:tcW w:w="120" w:type="dxa"/>
            <w:vAlign w:val="bottom"/>
          </w:tcPr>
          <w:p>
            <w:pPr>
              <w:spacing w:after="0"/>
              <w:rPr>
                <w:sz w:val="24"/>
                <w:szCs w:val="24"/>
                <w:color w:val="auto"/>
              </w:rPr>
            </w:pPr>
          </w:p>
        </w:tc>
        <w:tc>
          <w:tcPr>
            <w:tcW w:w="23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STOCKHOLDER PROPOSALS</w:t>
            </w:r>
          </w:p>
        </w:tc>
        <w:tc>
          <w:tcPr>
            <w:tcW w:w="79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72"/>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02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APPENDIX A — 2023 STOCK INCENTIVE PLAN, AS AMENDED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5100" w:type="dxa"/>
            <w:vAlign w:val="bottom"/>
            <w:gridSpan w:val="12"/>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7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APPENDIX B — AMENDMENT NO. 2 TO 2023 STOCK INCENTIVE PLAN, AS AMENDED</w:t>
            </w:r>
          </w:p>
        </w:tc>
        <w:tc>
          <w:tcPr>
            <w:tcW w:w="32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7"/>
          </w:tcPr>
          <w:p>
            <w:pPr>
              <w:jc w:val="center"/>
              <w:ind w:right="4740"/>
              <w:spacing w:after="0"/>
              <w:rPr>
                <w:sz w:val="20"/>
                <w:szCs w:val="20"/>
                <w:color w:val="auto"/>
              </w:rPr>
            </w:pPr>
            <w:r>
              <w:rPr>
                <w:rFonts w:ascii="Times New Roman" w:cs="Times New Roman" w:eastAsia="Times New Roman" w:hAnsi="Times New Roman"/>
                <w:sz w:val="18"/>
                <w:szCs w:val="18"/>
                <w:color w:val="auto"/>
                <w:w w:val="78"/>
              </w:rPr>
              <w:t>i</w:t>
            </w:r>
          </w:p>
        </w:tc>
        <w:tc>
          <w:tcPr>
            <w:tcW w:w="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217170</wp:posOffset>
            </wp:positionV>
            <wp:extent cx="2571750"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THURSDAY, JUNE 18, 2026</w:t>
      </w: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97" w:lineRule="exact"/>
        <w:rPr>
          <w:sz w:val="20"/>
          <w:szCs w:val="20"/>
          <w:color w:val="auto"/>
        </w:rPr>
      </w:pPr>
    </w:p>
    <w:p>
      <w:pPr>
        <w:ind w:left="120" w:right="40" w:firstLine="771"/>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our 2026 Annual Meeting of Stockholders, or the Annual Meeting. The Annual Meeting will be held on Thursday, June 18, 2026, beginning at 9:00 a.m. Eastern Time. The meeting will be a virtual meeting held via the internet. In order to attend the Annual Meeting online, you must register in advance at www.proxydocs.com/AGIO prior to the deadline of June 16, 2026 at 5:00 p.m., Eastern Time. Upon completing your registration, you will receive further instructions via email, including your unique links that will allow you access to the meeting. Please be sure to follow instructions found on your Notice of Internet Availability of Proxy Materials, proxy card and/or voting instruction form and subsequent instructions that will be delivered to you via email. There will not be a physical meeting location, and stockholders will not be able to attend the Annual Meeting in person.</w:t>
      </w:r>
    </w:p>
    <w:p>
      <w:pPr>
        <w:spacing w:after="0" w:line="189" w:lineRule="exact"/>
        <w:rPr>
          <w:sz w:val="20"/>
          <w:szCs w:val="20"/>
          <w:color w:val="auto"/>
        </w:rPr>
      </w:pPr>
    </w:p>
    <w:p>
      <w:pPr>
        <w:jc w:val="both"/>
        <w:ind w:left="120" w:right="140" w:firstLine="771"/>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requires, references to “Agios Pharmaceuticals,” “Agios,” “the company,” “our company,” “we,” “us,” “our” and similar terms refer to Agios Pharmaceuticals, Inc. and its consolidated subsidiaries. References to our website are inactive textual references only and the contents of our website are not incorporated by reference into this Proxy Statement.</w:t>
      </w:r>
    </w:p>
    <w:p>
      <w:pPr>
        <w:spacing w:after="0" w:line="176" w:lineRule="exact"/>
        <w:rPr>
          <w:sz w:val="20"/>
          <w:szCs w:val="20"/>
          <w:color w:val="auto"/>
        </w:rPr>
      </w:pPr>
    </w:p>
    <w:p>
      <w:pPr>
        <w:jc w:val="both"/>
        <w:ind w:left="120" w:right="60" w:firstLine="771"/>
        <w:spacing w:after="0" w:line="258" w:lineRule="auto"/>
        <w:rPr>
          <w:sz w:val="20"/>
          <w:szCs w:val="20"/>
          <w:color w:val="auto"/>
        </w:rPr>
      </w:pPr>
      <w:r>
        <w:rPr>
          <w:rFonts w:ascii="Times New Roman" w:cs="Times New Roman" w:eastAsia="Times New Roman" w:hAnsi="Times New Roman"/>
          <w:sz w:val="18"/>
          <w:szCs w:val="18"/>
          <w:color w:val="auto"/>
        </w:rPr>
        <w:t>This Proxy Statement and the enclosed proxy card are being furnished in connection with the solicitation of proxies by our board of directors for use at the Annual Meeting and at any adjournment of that meeting. All proxies will be voted in accordance with the instructions they contain. If you do not specify your voting instructions on your proxy, your shares will be voted in accordance with the recommendations of our board of directors. We are making this Proxy Statement, the related proxy card and our annual report to stockholders for the fiscal year ended December 31, 2025, or the 2025 Annual Report, available to stockholders for the first time on or about April 24, 2026.</w:t>
      </w:r>
    </w:p>
    <w:p>
      <w:pPr>
        <w:spacing w:after="0" w:line="26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do I have access to these materials?</w:t>
      </w:r>
    </w:p>
    <w:p>
      <w:pPr>
        <w:spacing w:after="0" w:line="270"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color w:val="auto"/>
        </w:rPr>
        <w:t>We have made these proxy materials available to you because our board of directors is soliciting your proxy to vote at the Annual Meeting to be held on Thursday, June 18, 2026 at 9:00 a.m., Eastern Time, including at any adjournments or postponements of the meeting. As a holder of record of common stock as of the close of business on April 21, 2026, you are invited to attend the Annual Meeting online and are requested to vote on the items of business described in this Proxy Statement. This Proxy Statement includes information that we are required to provide to you under the rules adopted by the U.S. Securities and Exchange Commission, or the SEC, and that is designed to assist you in voting your shares.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256" w:lineRule="exact"/>
        <w:rPr>
          <w:sz w:val="20"/>
          <w:szCs w:val="20"/>
          <w:color w:val="auto"/>
        </w:rPr>
      </w:pPr>
    </w:p>
    <w:p>
      <w:pPr>
        <w:ind w:left="120" w:right="360" w:firstLine="771"/>
        <w:spacing w:after="0" w:line="282" w:lineRule="auto"/>
        <w:rPr>
          <w:sz w:val="20"/>
          <w:szCs w:val="20"/>
          <w:color w:val="auto"/>
        </w:rPr>
      </w:pPr>
      <w:r>
        <w:rPr>
          <w:rFonts w:ascii="Times New Roman" w:cs="Times New Roman" w:eastAsia="Times New Roman" w:hAnsi="Times New Roman"/>
          <w:sz w:val="18"/>
          <w:szCs w:val="18"/>
          <w:color w:val="auto"/>
        </w:rPr>
        <w:t>Because we care about the sustainability of our environment, and in accordance with SEC rules, we have elected to provide access to our proxy materials, including this Proxy Statement and our 2025 Annual Report,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over the internet. Accordingly, we have sent a Notice of Internet Availability of Proxy Materials, or the Notice, to our stockholders of record entitled to vote at the Annual Meeting with instructions for accessing the proxy materials. We mailed the Notice on or about April 24, 2026 to all stockholders entitled to vote at the Annual Meeting.</w:t>
      </w:r>
    </w:p>
    <w:p>
      <w:pPr>
        <w:spacing w:after="0" w:line="176"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 xml:space="preserve">All stockholders entitled to vote at the Annual Meeting will have the ability to access the proxy materials by visiting the website referred to in the Notice, </w:t>
      </w:r>
      <w:r>
        <w:rPr>
          <w:rFonts w:ascii="Times New Roman" w:cs="Times New Roman" w:eastAsia="Times New Roman" w:hAnsi="Times New Roman"/>
          <w:sz w:val="18"/>
          <w:szCs w:val="18"/>
          <w:i w:val="1"/>
          <w:iCs w:val="1"/>
          <w:color w:val="auto"/>
        </w:rPr>
        <w:t>www.proxydocs.com/AGIO</w:t>
      </w:r>
      <w:r>
        <w:rPr>
          <w:rFonts w:ascii="Times New Roman" w:cs="Times New Roman" w:eastAsia="Times New Roman" w:hAnsi="Times New Roman"/>
          <w:sz w:val="18"/>
          <w:szCs w:val="18"/>
          <w:color w:val="auto"/>
        </w:rPr>
        <w:t xml:space="preserve">. This makes the proxy distribution process more efficient and less costly and helps conserve natural resources. The Notice also contains instructions to request to receive, free of charge, a printed set of the proxy materials. You may request the printed set of proxy materials over the internet at </w:t>
      </w:r>
      <w:r>
        <w:rPr>
          <w:rFonts w:ascii="Times New Roman" w:cs="Times New Roman" w:eastAsia="Times New Roman" w:hAnsi="Times New Roman"/>
          <w:sz w:val="18"/>
          <w:szCs w:val="18"/>
          <w:i w:val="1"/>
          <w:iCs w:val="1"/>
          <w:color w:val="auto"/>
        </w:rPr>
        <w:t>www.investorelections.com/AGIO</w:t>
      </w:r>
      <w:r>
        <w:rPr>
          <w:rFonts w:ascii="Times New Roman" w:cs="Times New Roman" w:eastAsia="Times New Roman" w:hAnsi="Times New Roman"/>
          <w:sz w:val="18"/>
          <w:szCs w:val="18"/>
          <w:color w:val="auto"/>
        </w:rPr>
        <w:t>, by emailing paper@investorelections.com, or by calling (866) 648-8133.</w:t>
      </w:r>
    </w:p>
    <w:p>
      <w:pPr>
        <w:spacing w:after="0" w:line="180" w:lineRule="exact"/>
        <w:rPr>
          <w:sz w:val="20"/>
          <w:szCs w:val="20"/>
          <w:color w:val="auto"/>
        </w:rPr>
      </w:pPr>
    </w:p>
    <w:p>
      <w:pPr>
        <w:jc w:val="both"/>
        <w:ind w:left="120" w:right="420" w:firstLine="771"/>
        <w:spacing w:after="0" w:line="266" w:lineRule="auto"/>
        <w:rPr>
          <w:sz w:val="20"/>
          <w:szCs w:val="20"/>
          <w:color w:val="auto"/>
        </w:rPr>
      </w:pPr>
      <w:r>
        <w:rPr>
          <w:rFonts w:ascii="Times New Roman" w:cs="Times New Roman" w:eastAsia="Times New Roman" w:hAnsi="Times New Roman"/>
          <w:sz w:val="18"/>
          <w:szCs w:val="18"/>
          <w:color w:val="auto"/>
        </w:rPr>
        <w:t>The Notice also identifies the date and time of the virtual Annual Meeting; instructions on how to attend the Annual Meeting online; the matters to be acted upon at the Annual Meeting and our board of directors’ recommendation with regard to each matter; and information on how to access and vote the form of proxy.</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vote my shares by filling out and returning the Notice?</w:t>
      </w:r>
    </w:p>
    <w:p>
      <w:pPr>
        <w:spacing w:after="0" w:line="270"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No. The Notice identifies the items to be voted on at the Annual Meeting, but you cannot vote by marking the Notice and returning it. The Proxy Statement provides instructions on how to vote by proxy over the internet or by telephone, by requesting and returning a printed proxy card, or by voting online during the Annual Meeting.</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56" w:lineRule="exact"/>
        <w:rPr>
          <w:sz w:val="20"/>
          <w:szCs w:val="20"/>
          <w:color w:val="auto"/>
        </w:rPr>
      </w:pPr>
    </w:p>
    <w:p>
      <w:pPr>
        <w:ind w:left="120" w:right="160" w:firstLine="771"/>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Annual Meeting, stockholders will consider and vote on the following matters:</w:t>
      </w:r>
    </w:p>
    <w:p>
      <w:pPr>
        <w:spacing w:after="0" w:line="306" w:lineRule="exact"/>
        <w:rPr>
          <w:sz w:val="20"/>
          <w:szCs w:val="20"/>
          <w:color w:val="auto"/>
        </w:rPr>
      </w:pPr>
    </w:p>
    <w:p>
      <w:pPr>
        <w:ind w:left="1540" w:right="20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three Class I director nominees set forth in the Proxy Statement, each to serve for a three-year term expiring at the 2029 annual meeting of stockholders and until his or her respective successor is duly elected and qualified.</w:t>
      </w:r>
    </w:p>
    <w:p>
      <w:pPr>
        <w:spacing w:after="0" w:line="24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to approve the compensation paid to our named executive officers.</w:t>
      </w:r>
    </w:p>
    <w:p>
      <w:pPr>
        <w:spacing w:after="0" w:line="306"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Agios Pharmaceuticals, Inc. 2023 Stock Incentive Plan, as Amended, to increase the number of shares of common stock available thereunder by 2,000,000 shares.</w:t>
      </w:r>
    </w:p>
    <w:p>
      <w:pPr>
        <w:spacing w:after="0" w:line="242"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December 31, 2026.</w:t>
      </w:r>
    </w:p>
    <w:p>
      <w:pPr>
        <w:spacing w:after="0" w:line="189" w:lineRule="exact"/>
        <w:rPr>
          <w:sz w:val="20"/>
          <w:szCs w:val="20"/>
          <w:color w:val="auto"/>
        </w:rPr>
      </w:pPr>
    </w:p>
    <w:p>
      <w:pPr>
        <w:jc w:val="center"/>
        <w:ind w:left="920" w:right="280"/>
        <w:spacing w:after="0" w:line="454" w:lineRule="auto"/>
        <w:rPr>
          <w:sz w:val="20"/>
          <w:szCs w:val="20"/>
          <w:color w:val="auto"/>
        </w:rPr>
      </w:pPr>
      <w:r>
        <w:rPr>
          <w:rFonts w:ascii="Times New Roman" w:cs="Times New Roman" w:eastAsia="Times New Roman" w:hAnsi="Times New Roman"/>
          <w:sz w:val="18"/>
          <w:szCs w:val="18"/>
          <w:color w:val="auto"/>
        </w:rPr>
        <w:t>Stockholders will also act on any other business that may properly come before the meeting, or any adjournment or postponement thereof. 2</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2026 Annual Meeting a virtual, online meeting?</w:t>
      </w:r>
    </w:p>
    <w:p>
      <w:pPr>
        <w:spacing w:after="0" w:line="256" w:lineRule="exact"/>
        <w:rPr>
          <w:sz w:val="20"/>
          <w:szCs w:val="20"/>
          <w:color w:val="auto"/>
        </w:rPr>
      </w:pPr>
    </w:p>
    <w:p>
      <w:pPr>
        <w:ind w:left="120" w:right="60" w:firstLine="771"/>
        <w:spacing w:after="0" w:line="256" w:lineRule="auto"/>
        <w:rPr>
          <w:sz w:val="20"/>
          <w:szCs w:val="20"/>
          <w:color w:val="auto"/>
        </w:rPr>
      </w:pPr>
      <w:r>
        <w:rPr>
          <w:rFonts w:ascii="Times New Roman" w:cs="Times New Roman" w:eastAsia="Times New Roman" w:hAnsi="Times New Roman"/>
          <w:sz w:val="18"/>
          <w:szCs w:val="18"/>
          <w:color w:val="auto"/>
        </w:rPr>
        <w:t>Our 2026 Annual Meeting will be a virtual meeting of stockholders where stockholders will participate by accessing a website using the internet. There will not be a physical meeting location. We believe that hosting a virtual meeting facilitates greater stockholder attendance and participation by enabling stockholders to participate remotely from any location around the world. Our virtual meeting will be governed by our Rules of Conduct and Procedures which will be posted at www.proxydocs.com/AGIO in advance of the meeting. We have designed the virtual Annual Meeting to provide the same rights and opportunities to participate as stockholders have at an in-person meeting, including the right to vote and ask questions through the virtual meeting platform.</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virtually attend the Annual Meeting?</w:t>
      </w:r>
    </w:p>
    <w:p>
      <w:pPr>
        <w:spacing w:after="0" w:line="270" w:lineRule="exact"/>
        <w:rPr>
          <w:sz w:val="20"/>
          <w:szCs w:val="20"/>
          <w:color w:val="auto"/>
        </w:rPr>
      </w:pPr>
    </w:p>
    <w:p>
      <w:pPr>
        <w:ind w:left="120" w:right="80" w:firstLine="771"/>
        <w:spacing w:after="0" w:line="258" w:lineRule="auto"/>
        <w:rPr>
          <w:sz w:val="20"/>
          <w:szCs w:val="20"/>
          <w:color w:val="auto"/>
        </w:rPr>
      </w:pPr>
      <w:r>
        <w:rPr>
          <w:rFonts w:ascii="Times New Roman" w:cs="Times New Roman" w:eastAsia="Times New Roman" w:hAnsi="Times New Roman"/>
          <w:sz w:val="18"/>
          <w:szCs w:val="18"/>
          <w:color w:val="auto"/>
        </w:rPr>
        <w:t>We will host the Annual Meeting live online via webcast. In order to attend the Annual Meeting online, you must register in advance at www.proxydocs.com/AGIO prior to the deadline of June 16, 2026 at 5:00 p.m., Eastern Time. Online registration for the Annual Meeting will begin on or around April 24, 2026, and you should allow ample time for online registration. Upon completing your registration, you will receive further instructions via email, including your unique links that will allow you access to the meeting. Please be sure to follow instructions found on your Notice, proxy card and/or voting instruction form and subsequent instructions that will be delivered to you via email.</w:t>
      </w:r>
    </w:p>
    <w:p>
      <w:pPr>
        <w:spacing w:after="0" w:line="183"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The webcast of the Annual Meeting will start at 9:00 a.m., Eastern Time, on June 18, 2026. We will have technicians standing by and ready to assist you with any technical difficulties you may have accessing the virtual meeting at 9:00 a.m., Eastern Time on June 18, 2026. If you encounter any difficulties accessing the virtual meeting during registration or at the time of the virtual meeting, please contact technical support by following the instructions provided to you upon registration for the Annual Meeting.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70" w:lineRule="exact"/>
        <w:rPr>
          <w:sz w:val="20"/>
          <w:szCs w:val="20"/>
          <w:color w:val="auto"/>
        </w:rPr>
      </w:pPr>
    </w:p>
    <w:p>
      <w:pPr>
        <w:ind w:left="120" w:right="420" w:firstLine="771"/>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21, 2026, the record date for the Annual Meeting, are entitled to vote at the Annual Meeting. On this record date, there were 59,471,609 shares of our common stock outstanding. Common stock is our only class of stock outstanding.</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share of our common stock that you own as of the record date, April 21, 2026, entitles you to one vote on each matter that is voted 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252" w:lineRule="exact"/>
        <w:rPr>
          <w:sz w:val="20"/>
          <w:szCs w:val="20"/>
          <w:color w:val="auto"/>
        </w:rPr>
      </w:pPr>
    </w:p>
    <w:p>
      <w:pPr>
        <w:ind w:left="120" w:right="100" w:firstLine="77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no matter how many shares you own. </w:t>
      </w:r>
      <w:r>
        <w:rPr>
          <w:rFonts w:ascii="Times New Roman" w:cs="Times New Roman" w:eastAsia="Times New Roman" w:hAnsi="Times New Roman"/>
          <w:sz w:val="18"/>
          <w:szCs w:val="18"/>
          <w:color w:val="auto"/>
        </w:rPr>
        <w:t>Please take the time to vote. Take a moment to read the instructions, choose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way to vote that is the easiest and most convenient for you and cast your vote as soon as possible.</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66" w:lineRule="exact"/>
        <w:rPr>
          <w:sz w:val="20"/>
          <w:szCs w:val="20"/>
          <w:color w:val="auto"/>
        </w:rPr>
      </w:pPr>
    </w:p>
    <w:p>
      <w:pPr>
        <w:ind w:left="120" w:right="720" w:firstLine="771"/>
        <w:spacing w:after="0" w:line="286" w:lineRule="auto"/>
        <w:rPr>
          <w:sz w:val="20"/>
          <w:szCs w:val="20"/>
          <w:color w:val="auto"/>
        </w:rPr>
      </w:pPr>
      <w:r>
        <w:rPr>
          <w:rFonts w:ascii="Times New Roman" w:cs="Times New Roman" w:eastAsia="Times New Roman" w:hAnsi="Times New Roman"/>
          <w:sz w:val="18"/>
          <w:szCs w:val="18"/>
          <w:b w:val="1"/>
          <w:bCs w:val="1"/>
          <w:color w:val="auto"/>
        </w:rPr>
        <w:t>If you are the “record holder” of your shares, meaning that you own your shares in your own name and not through a bank, brokerage firm or other nominee, you may vote:</w:t>
      </w:r>
    </w:p>
    <w:p>
      <w:pPr>
        <w:spacing w:after="0" w:line="182" w:lineRule="exact"/>
        <w:rPr>
          <w:sz w:val="20"/>
          <w:szCs w:val="20"/>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the Internet prior to the Annual Meeting: </w:t>
      </w:r>
      <w:r>
        <w:rPr>
          <w:rFonts w:ascii="Times New Roman" w:cs="Times New Roman" w:eastAsia="Times New Roman" w:hAnsi="Times New Roman"/>
          <w:sz w:val="18"/>
          <w:szCs w:val="18"/>
          <w:color w:val="auto"/>
        </w:rPr>
        <w:t>To vote over the internet prior to the Annual Meeting, please go to the following</w:t>
      </w:r>
    </w:p>
    <w:p>
      <w:pPr>
        <w:spacing w:after="0" w:line="3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i w:val="1"/>
          <w:iCs w:val="1"/>
          <w:color w:val="auto"/>
        </w:rPr>
        <w:t>www.proxypush.com/AGIO,</w:t>
      </w:r>
      <w:r>
        <w:rPr>
          <w:rFonts w:ascii="Times New Roman" w:cs="Times New Roman" w:eastAsia="Times New Roman" w:hAnsi="Times New Roman"/>
          <w:sz w:val="18"/>
          <w:szCs w:val="18"/>
          <w:color w:val="auto"/>
        </w:rPr>
        <w:t xml:space="preserve"> and follow the instructions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320"/>
        <w:spacing w:after="0" w:line="266" w:lineRule="auto"/>
        <w:rPr>
          <w:sz w:val="20"/>
          <w:szCs w:val="20"/>
          <w:color w:val="auto"/>
        </w:rPr>
      </w:pPr>
      <w:r>
        <w:rPr>
          <w:rFonts w:ascii="Times New Roman" w:cs="Times New Roman" w:eastAsia="Times New Roman" w:hAnsi="Times New Roman"/>
          <w:sz w:val="18"/>
          <w:szCs w:val="18"/>
          <w:color w:val="auto"/>
        </w:rPr>
        <w:t>at that site for submitting your proxy electronically. If you vote over the internet prior to the Annual Meeting, you do not need to complete and mail your proxy card or vote your proxy by telephone. Your vote must be received by 8:59 a.m., Eastern Time, on June 18, 2026 to be counted.</w:t>
      </w:r>
    </w:p>
    <w:p>
      <w:pPr>
        <w:spacing w:after="0" w:line="77" w:lineRule="exact"/>
        <w:rPr>
          <w:sz w:val="20"/>
          <w:szCs w:val="20"/>
          <w:color w:val="auto"/>
        </w:rPr>
      </w:pPr>
    </w:p>
    <w:p>
      <w:pPr>
        <w:ind w:left="1540" w:hanging="439"/>
        <w:spacing w:after="0" w:line="268"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prior to the Annual Meeting: </w:t>
      </w:r>
      <w:r>
        <w:rPr>
          <w:rFonts w:ascii="Times New Roman" w:cs="Times New Roman" w:eastAsia="Times New Roman" w:hAnsi="Times New Roman"/>
          <w:sz w:val="18"/>
          <w:szCs w:val="18"/>
          <w:color w:val="auto"/>
        </w:rPr>
        <w:t>To vote by telephone, please call (866) 509-2148, and follow the instructions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proxy card. If you vote by telephone, you do not need to complete and mail your proxy card or vote your proxy over the internet. Your vote must be received by 8:59 a.m., Eastern Time, on June 18, 2026 to be counted.</w:t>
      </w:r>
    </w:p>
    <w:p>
      <w:pPr>
        <w:spacing w:after="0" w:line="76" w:lineRule="exact"/>
        <w:rPr>
          <w:rFonts w:ascii="Times New Roman" w:cs="Times New Roman" w:eastAsia="Times New Roman" w:hAnsi="Times New Roman"/>
          <w:sz w:val="18"/>
          <w:szCs w:val="18"/>
          <w:color w:val="auto"/>
        </w:rPr>
      </w:pPr>
    </w:p>
    <w:p>
      <w:pPr>
        <w:ind w:left="1540" w:right="40" w:hanging="439"/>
        <w:spacing w:after="0" w:line="259"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prior to the Annual Meeting: </w:t>
      </w:r>
      <w:r>
        <w:rPr>
          <w:rFonts w:ascii="Times New Roman" w:cs="Times New Roman" w:eastAsia="Times New Roman" w:hAnsi="Times New Roman"/>
          <w:sz w:val="18"/>
          <w:szCs w:val="18"/>
          <w:color w:val="auto"/>
        </w:rPr>
        <w:t>To vote using the printed proxy card that may be delivered to you upon request, simply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sign and date the proxy card and return it promptly in the postage prepaid envelope provided to Proxy Tabulator for Agios Pharmaceuticals, Inc., c/o Mediant, a BetaNXT business, P.O. Box 8016, Cary, NC 27512-9903. If you vote by mail, you do not need to vote over the internet or by telephone. If Mediant receives the proxy card no later than June 17, 2026, we will vote your shares as you direct.</w:t>
      </w:r>
    </w:p>
    <w:p>
      <w:pPr>
        <w:spacing w:after="0" w:line="84" w:lineRule="exact"/>
        <w:rPr>
          <w:rFonts w:ascii="Times New Roman" w:cs="Times New Roman" w:eastAsia="Times New Roman" w:hAnsi="Times New Roman"/>
          <w:sz w:val="18"/>
          <w:szCs w:val="18"/>
          <w:color w:val="auto"/>
        </w:rPr>
      </w:pPr>
    </w:p>
    <w:p>
      <w:pPr>
        <w:ind w:left="1540" w:right="80" w:hanging="439"/>
        <w:spacing w:after="0" w:line="257"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In order to attend the Annual Meeting online and vote online during the Annual Meeting,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must register in advance at </w:t>
      </w:r>
      <w:r>
        <w:rPr>
          <w:rFonts w:ascii="Times New Roman" w:cs="Times New Roman" w:eastAsia="Times New Roman" w:hAnsi="Times New Roman"/>
          <w:sz w:val="18"/>
          <w:szCs w:val="18"/>
          <w:i w:val="1"/>
          <w:iCs w:val="1"/>
          <w:color w:val="auto"/>
        </w:rPr>
        <w:t>www.proxydocs.com/AGIO</w:t>
      </w:r>
      <w:r>
        <w:rPr>
          <w:rFonts w:ascii="Times New Roman" w:cs="Times New Roman" w:eastAsia="Times New Roman" w:hAnsi="Times New Roman"/>
          <w:sz w:val="18"/>
          <w:szCs w:val="18"/>
          <w:color w:val="auto"/>
        </w:rPr>
        <w:t xml:space="preserve"> prior to the deadline of June 16, 2026 at 5:00 p.m., Eastern Time. You may vote your shares online while virtually attending the Annual Meeting by following instructions found on your Notice, proxy card and/or voting instruction form and subsequent instructions that will be delivered to you via email. If you vote by proxy prior to the Annual Meeting and choose to attend the Annual Meeting online, there is no need to vote again during the Annual Meeting unless you wish to change your vote.</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If your shares are held in “street name,” meaning they are held for your account by a bank, brokerage firm, or other nominee, you</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vote:</w:t>
      </w:r>
    </w:p>
    <w:p>
      <w:pPr>
        <w:spacing w:after="0" w:line="284" w:lineRule="exact"/>
        <w:rPr>
          <w:sz w:val="20"/>
          <w:szCs w:val="20"/>
          <w:color w:val="auto"/>
        </w:rPr>
      </w:pPr>
    </w:p>
    <w:p>
      <w:pPr>
        <w:ind w:left="1540" w:hanging="439"/>
        <w:spacing w:after="0" w:line="286"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the Internet or by Telephone prior to the Annual Meeting: </w:t>
      </w:r>
      <w:r>
        <w:rPr>
          <w:rFonts w:ascii="Times New Roman" w:cs="Times New Roman" w:eastAsia="Times New Roman" w:hAnsi="Times New Roman"/>
          <w:sz w:val="18"/>
          <w:szCs w:val="18"/>
          <w:color w:val="auto"/>
        </w:rPr>
        <w:t>You will receive instructions from your bank, brokerage firm,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if they permit internet or telephone voting. You should follow those instructions.</w:t>
      </w:r>
    </w:p>
    <w:p>
      <w:pPr>
        <w:spacing w:after="0" w:line="60" w:lineRule="exact"/>
        <w:rPr>
          <w:rFonts w:ascii="Times New Roman" w:cs="Times New Roman" w:eastAsia="Times New Roman" w:hAnsi="Times New Roman"/>
          <w:sz w:val="18"/>
          <w:szCs w:val="18"/>
          <w:color w:val="auto"/>
        </w:rPr>
      </w:pPr>
    </w:p>
    <w:p>
      <w:pPr>
        <w:ind w:left="1540" w:right="140" w:hanging="439"/>
        <w:spacing w:after="0" w:line="286"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prior to the Annual Meeting: </w:t>
      </w:r>
      <w:r>
        <w:rPr>
          <w:rFonts w:ascii="Times New Roman" w:cs="Times New Roman" w:eastAsia="Times New Roman" w:hAnsi="Times New Roman"/>
          <w:sz w:val="18"/>
          <w:szCs w:val="18"/>
          <w:color w:val="auto"/>
        </w:rPr>
        <w:t>You will receive instructions from your bank, brokerage firm, or other nominee explaining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you can vote your shares by mail. You should follow those instructions.</w:t>
      </w:r>
    </w:p>
    <w:p>
      <w:pPr>
        <w:spacing w:after="0" w:line="60" w:lineRule="exact"/>
        <w:rPr>
          <w:rFonts w:ascii="Times New Roman" w:cs="Times New Roman" w:eastAsia="Times New Roman" w:hAnsi="Times New Roman"/>
          <w:sz w:val="18"/>
          <w:szCs w:val="18"/>
          <w:color w:val="auto"/>
        </w:rPr>
      </w:pPr>
    </w:p>
    <w:p>
      <w:pPr>
        <w:ind w:left="1540" w:hanging="439"/>
        <w:spacing w:after="0" w:line="268"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You will receive instructions from your bank, brokerage firm, or other nominee explaining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you can register to attend the Annual Meeting online and vote your shares online during the Annual Meeting. You should follow those instructions.</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270" w:lineRule="exact"/>
        <w:rPr>
          <w:sz w:val="20"/>
          <w:szCs w:val="20"/>
          <w:color w:val="auto"/>
        </w:rPr>
      </w:pPr>
    </w:p>
    <w:p>
      <w:pPr>
        <w:ind w:left="120" w:right="740" w:firstLine="771"/>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you may revoke your proxy and change your vote by following one of the below procedures:</w:t>
      </w:r>
    </w:p>
    <w:p>
      <w:pPr>
        <w:spacing w:after="0" w:line="189" w:lineRule="exact"/>
        <w:rPr>
          <w:sz w:val="20"/>
          <w:szCs w:val="20"/>
          <w:color w:val="auto"/>
        </w:rPr>
      </w:pPr>
    </w:p>
    <w:p>
      <w:pPr>
        <w:jc w:val="both"/>
        <w:ind w:left="1540" w:right="20" w:hanging="439"/>
        <w:spacing w:after="0" w:line="289" w:lineRule="auto"/>
        <w:tabs>
          <w:tab w:leader="none" w:pos="1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over the internet or by telephone as instructed above under “Over the Internet prior to the Annual Meeting” and “By Telephone prior to the Annual Meeting”. Only your latest internet or telephone vote submitted prior to the Annual Meeting is counted. You may not change your vote prior to the Annual Meeting over the internet or by telephone after 8:59 a.m., Eastern Time, on June 18, 2026.</w:t>
      </w:r>
    </w:p>
    <w:p>
      <w:pPr>
        <w:spacing w:after="0" w:line="184" w:lineRule="exact"/>
        <w:rPr>
          <w:rFonts w:ascii="Times New Roman" w:cs="Times New Roman" w:eastAsia="Times New Roman" w:hAnsi="Times New Roman"/>
          <w:sz w:val="17"/>
          <w:szCs w:val="17"/>
          <w:color w:val="auto"/>
        </w:rPr>
      </w:pPr>
    </w:p>
    <w:p>
      <w:pPr>
        <w:ind w:left="1540" w:right="240" w:hanging="439"/>
        <w:spacing w:after="0" w:line="26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date and complete a new proxy card and send it by mail to Proxy Tabulator for Agios Pharmaceuticals, Inc., c/o Mediant, a BetaNXT business, P.O. Box 8016, Cary, NC 27512-9903. Mediant must receive the proxy card no later than June 17, 2026. Only your latest dated and timely received proxy will be counted.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120" w:hanging="439"/>
        <w:spacing w:after="0" w:line="266"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and vote online as instructed above under “Online during the Annual Meeting”. Virtually attending the Annual Meeting, without voting online during the Annual Meeting, will not revoke your internet vote, telephone vote or proxy submitted by mail, as the case may be.</w:t>
      </w:r>
    </w:p>
    <w:p>
      <w:pPr>
        <w:spacing w:after="0" w:line="176"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submit new voting instructions with a later date by contacting your bank, brokerage firm, or other nominee. You may also vote online during the Annual Meeting, which will have the effect of revoking any previously submitted voting instructions; see “How do I vote?” above.</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return my proxy?</w:t>
      </w:r>
    </w:p>
    <w:p>
      <w:pPr>
        <w:spacing w:after="0" w:line="266" w:lineRule="exact"/>
        <w:rPr>
          <w:sz w:val="20"/>
          <w:szCs w:val="20"/>
          <w:color w:val="auto"/>
        </w:rPr>
      </w:pPr>
    </w:p>
    <w:p>
      <w:pPr>
        <w:ind w:left="120" w:right="40" w:firstLine="77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your shares are registered directly in your name, </w:t>
      </w:r>
      <w:r>
        <w:rPr>
          <w:rFonts w:ascii="Times New Roman" w:cs="Times New Roman" w:eastAsia="Times New Roman" w:hAnsi="Times New Roman"/>
          <w:sz w:val="18"/>
          <w:szCs w:val="18"/>
          <w:color w:val="auto"/>
        </w:rPr>
        <w:t>your shares will not be voted if you do not vote over the internet, by telephone,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prior to the Annual Meeting or online while virtually attending the Annual Meeting. If you submit a proxy card without giving specific voting instructions on one or more matters listed in the Notice, your shares will be voted as recommended by our board of directors on such matters, and as the proxyholders may determine in their discretion how to vote with respect to any other matters properly presented for a vote at the Annual Meeting.</w:t>
      </w:r>
    </w:p>
    <w:p>
      <w:pPr>
        <w:spacing w:after="0" w:line="176" w:lineRule="exact"/>
        <w:rPr>
          <w:sz w:val="20"/>
          <w:szCs w:val="20"/>
          <w:color w:val="auto"/>
        </w:rPr>
      </w:pPr>
    </w:p>
    <w:p>
      <w:pPr>
        <w:ind w:left="120" w:right="100" w:firstLine="77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your shares are held in “street name,” </w:t>
      </w:r>
      <w:r>
        <w:rPr>
          <w:rFonts w:ascii="Times New Roman" w:cs="Times New Roman" w:eastAsia="Times New Roman" w:hAnsi="Times New Roman"/>
          <w:sz w:val="18"/>
          <w:szCs w:val="18"/>
          <w:color w:val="auto"/>
        </w:rPr>
        <w:t>your brokerage firm may, under certain circumstances, vote your shares if you do not return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instructions. Brokerage firms can vote customers’ uninstructed shares on discretionary matters but they will not be allowed to vote your uninstructed shares with respect to non-discretionary items. If you do not timely return voting instructions to your brokerage firm to vote your shares, your brokerage firm may, on discretionary matters, either vote your shares or leave your shares unvoted.</w:t>
      </w:r>
    </w:p>
    <w:p>
      <w:pPr>
        <w:spacing w:after="0" w:line="176"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brokerage firm cannot vote your uninstructed shares on any matter that is not considered discretionary. </w:t>
      </w:r>
      <w:r>
        <w:rPr>
          <w:rFonts w:ascii="Times New Roman" w:cs="Times New Roman" w:eastAsia="Times New Roman" w:hAnsi="Times New Roman"/>
          <w:sz w:val="18"/>
          <w:szCs w:val="18"/>
          <w:color w:val="auto"/>
        </w:rPr>
        <w:t>Proposal 1, the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three Class I directors, Proposal 2, an advisory vote on the compensation paid to our named executive officers, or NEOs, and Proposal 3, the approval of an amendment to our 2023 Stock Incentive Plan, as Amended, to increase the number of shares of common stock available thereunder, are not considered discretionary matters. If you do not instruct your brokerage firm on how to vote with respect to these items, your brokerage firm may not vote with respect to these proposals and those votes will be counted as “broker non-votes.” “Broker non-votes” are shares that are held in “street name” by a bank or brokerage firm that indicates on its proxy that it does not have or did not exercise discretionary authority to vote on a particular matter. Proposal 4, the ratification of the appointment of PricewaterhouseCoopers LLP as our independent registered public accounting firm for the fiscal year ending December 31, 2026, is considered a discretionary matter, and your brokerage firm will be able to vote on that item if it does not receive instructions from you, so long as it holds your shares in its name. We encourage you to provide voting instructions to your brokerage firm or other nominee. This ensures that your shares will be voted at the Annual Meeting according to your instructions. You should receive directions from your brokerage firm or other nominee about how to submit your voting instructions.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represented to hold the Annual Meeting?</w:t>
      </w:r>
    </w:p>
    <w:p>
      <w:pPr>
        <w:spacing w:after="0" w:line="256"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A majority of our shares of common stock outstanding at the record date must be present virtually or represented by proxy to hold the Annual Meeting. This is called a quorum. For purposes of determining whether a quorum exists, we count as present any shares that are voted over the internet, by telephone, by completing and submitting a proxy by mail, or that are represented virtually at the Annual Meeting. Further, for purposes of establishing a quorum, we will count as present shares that a stockholder holds even if the stockholder votes to abstain or only votes on one of the proposals. In addition, we will count as present shares that are “broker non-votes”. If a quorum is not present, we expect to adjourn the Annual Meeting until we obtain a quorum.</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8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firstLine="771"/>
        <w:spacing w:after="0" w:line="266" w:lineRule="auto"/>
        <w:rPr>
          <w:sz w:val="20"/>
          <w:szCs w:val="20"/>
          <w:color w:val="auto"/>
        </w:rPr>
      </w:pPr>
      <w:r>
        <w:rPr>
          <w:rFonts w:ascii="Times New Roman" w:cs="Times New Roman" w:eastAsia="Times New Roman" w:hAnsi="Times New Roman"/>
          <w:sz w:val="18"/>
          <w:szCs w:val="18"/>
          <w:color w:val="auto"/>
        </w:rPr>
        <w:t>The presence at the Annual Meeting, virtually or by proxy, of holders representing a majority of our outstanding common stock as of the record date, April 21, 2026, or approximately 29,735,805 shares, constitutes a quorum at the meeting and permits us to conduct the business of the meeting.</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 and how are votes counted?</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70"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 xml:space="preserve">The three nominees for director to receive the highest number of votes FOR election will be elected as directors. This is called a plurality. </w:t>
      </w:r>
      <w:r>
        <w:rPr>
          <w:rFonts w:ascii="Times New Roman" w:cs="Times New Roman" w:eastAsia="Times New Roman" w:hAnsi="Times New Roman"/>
          <w:sz w:val="18"/>
          <w:szCs w:val="18"/>
          <w:b w:val="1"/>
          <w:bCs w:val="1"/>
          <w:color w:val="auto"/>
        </w:rPr>
        <w:t xml:space="preserve">Proposal 1 is not considered a discretionary matter. </w:t>
      </w:r>
      <w:r>
        <w:rPr>
          <w:rFonts w:ascii="Times New Roman" w:cs="Times New Roman" w:eastAsia="Times New Roman" w:hAnsi="Times New Roman"/>
          <w:sz w:val="18"/>
          <w:szCs w:val="18"/>
          <w:color w:val="auto"/>
        </w:rPr>
        <w:t>Therefore, if your shares are held by your brokerage firm in “street name” and you do not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voting instructions with respect to your shares, your brokerage firm cannot vote your shares on Proposal 1. Broker non-votes will not be counted as votes FOR or WITHHELD from any nominee. As a result, such broker non-votes will have no effect on the voting on Proposal 1. You may:</w:t>
      </w:r>
    </w:p>
    <w:p>
      <w:pPr>
        <w:spacing w:after="0" w:line="207" w:lineRule="exact"/>
        <w:rPr>
          <w:sz w:val="20"/>
          <w:szCs w:val="20"/>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all nominees;</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 particular nominee or nominees and WITHHOLD your vote from the other nominees; or</w:t>
      </w:r>
    </w:p>
    <w:p>
      <w:pPr>
        <w:spacing w:after="0" w:line="25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your vote from all nominees.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Votes that are withheld will not be included in the vote tally for the election of directors and will have no effect on the voting on Proposal 1.</w:t>
      </w:r>
    </w:p>
    <w:p>
      <w:pPr>
        <w:spacing w:after="0" w:line="2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Proposal 2 — Advisory Vote on the Compensation Paid to Named Executive Officers</w:t>
      </w:r>
    </w:p>
    <w:p>
      <w:pPr>
        <w:spacing w:after="0" w:line="266" w:lineRule="exact"/>
        <w:rPr>
          <w:sz w:val="20"/>
          <w:szCs w:val="20"/>
          <w:color w:val="auto"/>
        </w:rPr>
      </w:pPr>
    </w:p>
    <w:p>
      <w:pPr>
        <w:ind w:left="120" w:right="80" w:firstLine="771"/>
        <w:spacing w:after="0" w:line="257" w:lineRule="auto"/>
        <w:rPr>
          <w:sz w:val="20"/>
          <w:szCs w:val="20"/>
          <w:color w:val="auto"/>
        </w:rPr>
      </w:pPr>
      <w:r>
        <w:rPr>
          <w:rFonts w:ascii="Times New Roman" w:cs="Times New Roman" w:eastAsia="Times New Roman" w:hAnsi="Times New Roman"/>
          <w:sz w:val="18"/>
          <w:szCs w:val="18"/>
          <w:color w:val="auto"/>
        </w:rPr>
        <w:t xml:space="preserve">To approve Proposal 2, holders of a majority of the votes cast on the matter must vote FOR the proposal. </w:t>
      </w:r>
      <w:r>
        <w:rPr>
          <w:rFonts w:ascii="Times New Roman" w:cs="Times New Roman" w:eastAsia="Times New Roman" w:hAnsi="Times New Roman"/>
          <w:sz w:val="18"/>
          <w:szCs w:val="18"/>
          <w:b w:val="1"/>
          <w:bCs w:val="1"/>
          <w:color w:val="auto"/>
        </w:rPr>
        <w:t>Proposal 2 is not considered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discretionary matter. </w:t>
      </w:r>
      <w:r>
        <w:rPr>
          <w:rFonts w:ascii="Times New Roman" w:cs="Times New Roman" w:eastAsia="Times New Roman" w:hAnsi="Times New Roman"/>
          <w:sz w:val="18"/>
          <w:szCs w:val="18"/>
          <w:color w:val="auto"/>
        </w:rPr>
        <w:t>Shares which abstain and broker non-votes will not be counted as votes in favor of, or with respect to, this proposal and will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counted as votes cast. Accordingly, abstentions and broker non-votes will have no effect on the outcome of this proposal. Proposal 2 is non-binding. Because this vote is advisory and not binding on us or our board of directors in any way, our board may decide that it is in our and our stockholders’ best interests to compensate our named executive officers in an amount or manner that differs from that which is approved by our stockholders.</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Proposal 3 — Amendment of the 2023 Stock Incentive Plan, as Amended</w:t>
      </w:r>
    </w:p>
    <w:p>
      <w:pPr>
        <w:spacing w:after="0" w:line="266" w:lineRule="exact"/>
        <w:rPr>
          <w:sz w:val="20"/>
          <w:szCs w:val="20"/>
          <w:color w:val="auto"/>
        </w:rPr>
      </w:pPr>
    </w:p>
    <w:p>
      <w:pPr>
        <w:ind w:left="120" w:right="80" w:firstLine="771"/>
        <w:spacing w:after="0" w:line="268" w:lineRule="auto"/>
        <w:rPr>
          <w:sz w:val="20"/>
          <w:szCs w:val="20"/>
          <w:color w:val="auto"/>
        </w:rPr>
      </w:pPr>
      <w:r>
        <w:rPr>
          <w:rFonts w:ascii="Times New Roman" w:cs="Times New Roman" w:eastAsia="Times New Roman" w:hAnsi="Times New Roman"/>
          <w:sz w:val="18"/>
          <w:szCs w:val="18"/>
          <w:color w:val="auto"/>
        </w:rPr>
        <w:t xml:space="preserve">To approve Proposal 3, holders of a majority of the votes cast on the matter must vote FOR the proposal. </w:t>
      </w:r>
      <w:r>
        <w:rPr>
          <w:rFonts w:ascii="Times New Roman" w:cs="Times New Roman" w:eastAsia="Times New Roman" w:hAnsi="Times New Roman"/>
          <w:sz w:val="18"/>
          <w:szCs w:val="18"/>
          <w:b w:val="1"/>
          <w:bCs w:val="1"/>
          <w:color w:val="auto"/>
        </w:rPr>
        <w:t>Proposal 3 is not considered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discretionary matter. </w:t>
      </w:r>
      <w:r>
        <w:rPr>
          <w:rFonts w:ascii="Times New Roman" w:cs="Times New Roman" w:eastAsia="Times New Roman" w:hAnsi="Times New Roman"/>
          <w:sz w:val="18"/>
          <w:szCs w:val="18"/>
          <w:color w:val="auto"/>
        </w:rPr>
        <w:t>Shares which abstain and broker non-votes will not be counted as votes in favor of, or with respect to, this proposal and will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counted as votes cast. Accordingly, abstentions and broker non-votes will have no effect on the outcome of this proposal.</w:t>
      </w:r>
    </w:p>
    <w:p>
      <w:pPr>
        <w:spacing w:after="0" w:line="2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Proposal 4 — Ratification of Appointment of Independent Registered Public Accounting Firm</w:t>
      </w:r>
    </w:p>
    <w:p>
      <w:pPr>
        <w:spacing w:after="0" w:line="252" w:lineRule="exact"/>
        <w:rPr>
          <w:sz w:val="20"/>
          <w:szCs w:val="20"/>
          <w:color w:val="auto"/>
        </w:rPr>
      </w:pPr>
    </w:p>
    <w:p>
      <w:pPr>
        <w:ind w:left="120" w:right="100" w:firstLine="771"/>
        <w:spacing w:after="0" w:line="257" w:lineRule="auto"/>
        <w:rPr>
          <w:sz w:val="20"/>
          <w:szCs w:val="20"/>
          <w:color w:val="auto"/>
        </w:rPr>
      </w:pPr>
      <w:r>
        <w:rPr>
          <w:rFonts w:ascii="Times New Roman" w:cs="Times New Roman" w:eastAsia="Times New Roman" w:hAnsi="Times New Roman"/>
          <w:sz w:val="18"/>
          <w:szCs w:val="18"/>
          <w:color w:val="auto"/>
        </w:rPr>
        <w:t xml:space="preserve">To approve Proposal 4, holders of a majority of the votes cast on the matter must vote FOR the proposal. </w:t>
      </w:r>
      <w:r>
        <w:rPr>
          <w:rFonts w:ascii="Times New Roman" w:cs="Times New Roman" w:eastAsia="Times New Roman" w:hAnsi="Times New Roman"/>
          <w:sz w:val="18"/>
          <w:szCs w:val="18"/>
          <w:b w:val="1"/>
          <w:bCs w:val="1"/>
          <w:color w:val="auto"/>
        </w:rPr>
        <w:t>Proposal 4 is considered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discretionary matter. </w:t>
      </w:r>
      <w:r>
        <w:rPr>
          <w:rFonts w:ascii="Times New Roman" w:cs="Times New Roman" w:eastAsia="Times New Roman" w:hAnsi="Times New Roman"/>
          <w:sz w:val="18"/>
          <w:szCs w:val="18"/>
          <w:color w:val="auto"/>
        </w:rPr>
        <w:t>If your shares are held by your brokerage firm in “street name” and you do not timely provide voting instructions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your brokerage firm may vote your uninstructed shares on Proposal 4. If your brokerage firm exercises this discretionary authority, no broker non-votes are expected to occur in connection with Proposal 4. If you ABSTAIN from voting on Proposal 4, your shares will not be voted FOR or AGAINST the proposal and will also not be counted as votes cast or shares voting on the proposal. As a result, voting to ABSTAIN will have no effect on the outcome of Proposal 4.</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Although stockholder approval of our audit committee’s appointment of PricewaterhouseCoopers LLP as our independent registered public accounting firm for the fiscal year ending December 31, 2026 is not required, we believe that it is advisable to give stockholders an opportunity to ratify this appointment. If this proposal is not approved at the Annual Meeting, our audit committee will reconsider its appointment of PricewaterhouseCoopers LLP as our independent registered public accounting firm for the year ending December 31, 2026.</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302" w:lineRule="exact"/>
        <w:rPr>
          <w:sz w:val="20"/>
          <w:szCs w:val="20"/>
          <w:color w:val="auto"/>
        </w:rPr>
      </w:pPr>
    </w:p>
    <w:p>
      <w:pPr>
        <w:ind w:left="1540" w:hanging="331"/>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three nominees to serve on our board of directors as Class I directors, each for a three-year term;</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(non-binding) basis, of the compensation of our named executive officers;</w:t>
      </w:r>
    </w:p>
    <w:p>
      <w:pPr>
        <w:spacing w:after="0" w:line="306" w:lineRule="exact"/>
        <w:rPr>
          <w:rFonts w:ascii="Times New Roman" w:cs="Times New Roman" w:eastAsia="Times New Roman" w:hAnsi="Times New Roman"/>
          <w:sz w:val="18"/>
          <w:szCs w:val="18"/>
          <w:color w:val="auto"/>
        </w:rPr>
      </w:pPr>
    </w:p>
    <w:p>
      <w:pPr>
        <w:ind w:left="1540" w:right="260" w:hanging="331"/>
        <w:spacing w:after="0" w:line="286"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 amendment to our 2023 Stock Incentive Plan, as Amended, to increase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available thereunder by 2,000,000 shares; and</w:t>
      </w:r>
    </w:p>
    <w:p>
      <w:pPr>
        <w:spacing w:after="0" w:line="235" w:lineRule="exact"/>
        <w:rPr>
          <w:rFonts w:ascii="Times New Roman" w:cs="Times New Roman" w:eastAsia="Times New Roman" w:hAnsi="Times New Roman"/>
          <w:sz w:val="18"/>
          <w:szCs w:val="18"/>
          <w:color w:val="auto"/>
        </w:rPr>
      </w:pPr>
    </w:p>
    <w:p>
      <w:pPr>
        <w:ind w:left="1540" w:right="180" w:hanging="331"/>
        <w:spacing w:after="0" w:line="286"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registered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December 31, 2026.</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Are there other matters to be voted on at the Annual Meeting?</w:t>
      </w:r>
    </w:p>
    <w:p>
      <w:pPr>
        <w:spacing w:after="0" w:line="256"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We do not know of any matters that may come before the Annual Meeting other than the election of our Class I directors, the approval, on an advisory basis, of the compensation of our named executive officers, the approval of an amendment to our 2023 Stock Incentive Plan, as Amended,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votes will be counted, tabulated and certified by Mediant, a BetaNXT business.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270"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inspector of election will forward any written comments that you make on the proxy card to management without providing your name, unless you expressly request disclosure on the proxy card.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submit a question at the Annual Meeting?</w:t>
      </w:r>
    </w:p>
    <w:p>
      <w:pPr>
        <w:spacing w:after="0" w:line="270"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If you wish to submit a question, on the day of the Annual Meeting, beginning at 8:00 a.m., Eastern Time on Thursday, June 18, 2026, you may log into the virtual meeting platform using the unique link provided to you</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82"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via email following the completion of your registration at www.proxydocs.com/AGIO, and follow the instructions there. Our virtual meeting will be governed by our Rules of Conduct and Procedures, which will be posted at </w:t>
      </w:r>
      <w:r>
        <w:rPr>
          <w:rFonts w:ascii="Times New Roman" w:cs="Times New Roman" w:eastAsia="Times New Roman" w:hAnsi="Times New Roman"/>
          <w:sz w:val="18"/>
          <w:szCs w:val="18"/>
          <w:i w:val="1"/>
          <w:iCs w:val="1"/>
          <w:color w:val="auto"/>
        </w:rPr>
        <w:t>www.proxydocs.com/AGIO</w:t>
      </w:r>
      <w:r>
        <w:rPr>
          <w:rFonts w:ascii="Times New Roman" w:cs="Times New Roman" w:eastAsia="Times New Roman" w:hAnsi="Times New Roman"/>
          <w:sz w:val="18"/>
          <w:szCs w:val="18"/>
          <w:color w:val="auto"/>
        </w:rPr>
        <w:t xml:space="preserve"> in advance of the meeting. The Rules of Conduct and Procedures will govern the ability of stockholders to ask questions during the meeting, including rules on permissible topics, and rules for how questions and comments will be recognized and disclosed to meeting participants. All questions asked in accordance with the Rules of Conduct and Procedures received from stockholders before or during the virtual Annual Meeting will be posted on our website at investor.agios.com as soon as practicable following the Annual Meeting.</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70" w:lineRule="exact"/>
        <w:rPr>
          <w:sz w:val="20"/>
          <w:szCs w:val="20"/>
          <w:color w:val="auto"/>
        </w:rPr>
      </w:pPr>
    </w:p>
    <w:p>
      <w:pPr>
        <w:ind w:left="120" w:right="520" w:firstLine="771"/>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tallied by the inspector of election and published in a current report on Form 8-K to be filed with the SEC within four business days after the Annual Meeting.</w:t>
      </w:r>
    </w:p>
    <w:p>
      <w:pPr>
        <w:spacing w:after="0" w:line="198"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color w:val="auto"/>
        </w:rPr>
        <w:t>How and when may I submit a stockholder proposal, including a stockholder nomination for director for the 2027 annual meeting of stockholders?</w:t>
      </w:r>
    </w:p>
    <w:p>
      <w:pPr>
        <w:spacing w:after="0" w:line="186" w:lineRule="exact"/>
        <w:rPr>
          <w:sz w:val="20"/>
          <w:szCs w:val="20"/>
          <w:color w:val="auto"/>
        </w:rPr>
      </w:pPr>
    </w:p>
    <w:p>
      <w:pPr>
        <w:ind w:left="120" w:right="20" w:firstLine="771"/>
        <w:spacing w:after="0" w:line="254" w:lineRule="auto"/>
        <w:rPr>
          <w:sz w:val="20"/>
          <w:szCs w:val="20"/>
          <w:color w:val="auto"/>
        </w:rPr>
      </w:pPr>
      <w:r>
        <w:rPr>
          <w:rFonts w:ascii="Times New Roman" w:cs="Times New Roman" w:eastAsia="Times New Roman" w:hAnsi="Times New Roman"/>
          <w:sz w:val="18"/>
          <w:szCs w:val="18"/>
          <w:color w:val="auto"/>
        </w:rPr>
        <w:t>Stockholders wishing to suggest a candidate for director should write to our corporate secretary. In order to give the nominating and corporate governance committee sufficient time to evaluate a recommended candidate and/or include the candidate in our proxy statement for the 2027 annual meeting of stockholders, the recommendation should be received by our corporate secretary at our principal executive offices in accordance with our procedures detailed in the section below entitled “Stockholder Proposals.” Such submissions must state the nominee’s name, together with appropriate biographical information and background materials, and information with respect to the stockholder or group of stockholders making the recommendation, including the number of shares of common stock owned by such stockholder or group of stockholders, as well as other information required by our bylaws or SEC regulations. We may require any proposed nominee to furnish such other information as we may reasonably require in determining the eligibility of such proposed nominee to serve as an independent director or that could be material to a reasonable stockholder’s understanding of the independence, or lack thereof, of such proposed nominee.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the costs of soliciting these proxies?</w:t>
      </w:r>
    </w:p>
    <w:p>
      <w:pPr>
        <w:spacing w:after="0" w:line="256" w:lineRule="exact"/>
        <w:rPr>
          <w:sz w:val="20"/>
          <w:szCs w:val="20"/>
          <w:color w:val="auto"/>
        </w:rPr>
      </w:pPr>
    </w:p>
    <w:p>
      <w:pPr>
        <w:ind w:left="120" w:right="240" w:firstLine="771"/>
        <w:spacing w:after="0" w:line="261" w:lineRule="auto"/>
        <w:rPr>
          <w:sz w:val="20"/>
          <w:szCs w:val="20"/>
          <w:color w:val="auto"/>
        </w:rPr>
      </w:pPr>
      <w:r>
        <w:rPr>
          <w:rFonts w:ascii="Times New Roman" w:cs="Times New Roman" w:eastAsia="Times New Roman" w:hAnsi="Times New Roman"/>
          <w:sz w:val="18"/>
          <w:szCs w:val="18"/>
          <w:color w:val="auto"/>
        </w:rPr>
        <w:t>We will pay all of the costs of soliciting proxies. Our directors, officers and other employees may solicit proxies in person or by mail, telephone, fax or email. We will pay our directors, officers and other employees no additional compensation for these services. We will ask banks, brokerage firms and other nominees to forward these proxy materials to their principals and to obtain authority to execute proxies. We may reimburse them for their expenses.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obtain an Annual Report on Form 10-K?</w:t>
      </w:r>
    </w:p>
    <w:p>
      <w:pPr>
        <w:spacing w:after="0" w:line="266" w:lineRule="exact"/>
        <w:rPr>
          <w:sz w:val="20"/>
          <w:szCs w:val="20"/>
          <w:color w:val="auto"/>
        </w:rPr>
      </w:pPr>
    </w:p>
    <w:p>
      <w:pPr>
        <w:ind w:left="120" w:right="260" w:firstLine="771"/>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a copy of our Annual Report on Form 10-K for the year ended December 31, 2025 that we filed with the SEC, we will send you one, without exhibits, free of charge. Please contact Investor Relations at 88 Sidney Street, Cambridge, Massachusetts 02139; telephone: 617-649-8600; e-mail: IR@agios.com.</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xml:space="preserve">All of our SEC filings are also available free of charge in the “Investors—Financials—SEC Filings” section of our website at </w:t>
      </w:r>
      <w:r>
        <w:rPr>
          <w:rFonts w:ascii="Times New Roman" w:cs="Times New Roman" w:eastAsia="Times New Roman" w:hAnsi="Times New Roman"/>
          <w:sz w:val="17"/>
          <w:szCs w:val="17"/>
          <w:i w:val="1"/>
          <w:iCs w:val="1"/>
          <w:color w:val="auto"/>
        </w:rPr>
        <w:t>www.agios.com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questions?</w:t>
      </w:r>
    </w:p>
    <w:p>
      <w:pPr>
        <w:spacing w:after="0" w:line="256" w:lineRule="exact"/>
        <w:rPr>
          <w:sz w:val="20"/>
          <w:szCs w:val="20"/>
          <w:color w:val="auto"/>
        </w:rPr>
      </w:pPr>
    </w:p>
    <w:p>
      <w:pPr>
        <w:ind w:left="120" w:right="40" w:firstLine="771"/>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Annual Meeting or your ownership of our common stock, please contact Investor Relations at 88 Sidney Street, Cambridge, Massachusetts 02139; telephone: 617-649-8600; e-mail: IR@agios.com.</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70" w:lineRule="exact"/>
        <w:rPr>
          <w:sz w:val="20"/>
          <w:szCs w:val="20"/>
          <w:color w:val="auto"/>
        </w:rPr>
      </w:pPr>
    </w:p>
    <w:p>
      <w:pPr>
        <w:ind w:left="120" w:firstLine="771"/>
        <w:spacing w:after="0" w:line="24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Such forward-looking statements include those regarding the potential benefits of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(mitapivat), AQVESME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(mitapivat) and tebapivat; the company’s plans, strategies and expectations for its preclinical, clinical and commercial advancement of its drug development, including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AQVESME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tebapivat, AG-181 and AG-236; the company’s strategic vision and goals; and the potential benefits of the company’s strategic plans and focus. The words “aim,” “anticipate,” “believe,” “could,” “expect,” “goal,” “hope,” “intend,” “may,” “might,” “milestone,” “plan,” “potential,” “possible,” “strategy,” “will,” “vision,” and similar expressions are intended to identify forward-looking statements, although not all forward-looking statements contain these identifying words. Such statements are subject to numerous important factors, risks and uncertainties that may cause actual events or results to differ materially from the company’s current expectations and beliefs. For example, there can be no guarantee that any product candidate the company is developing will successfully commence or complete necessary preclinical and clinical development phases, that development of any of the company’s product candidates will successfully continue or that any of the company’s product candidates will receive marketing approval. There can be no guarantee that any positive developments in the company’s business will result in stock price appreciation. Management’s expectations and, therefore, any forward-looking statements in this proxy statement could also be affected by risks and uncertainties relating to a number of other important factors, including, without limitation: risks and uncertainties related to the company’s ability to conduct its ongoing and planned research activities and its conduct ongoing and planned preclinical studies and clinical trials; the company’s ability to obtain clinical supply of current or future drug candidates and commercial supply of current or future approved products; the company’s ability to launch, market and sell current or future approved products; the company’s results of clinical trials and preclinical studies, including subsequent analysis of existing data and new data received from ongoing and future trials and studies; the content and timing of decisions made by the U.S. Food and Drug Administration, the European Medicines Agency or other regulatory authorities, investigational review boards at clinical trial sites and publication review bodies; the company’s ability to obtain and maintain requisite regulatory approvals and to enroll patients in its ongoing and planned clinical trials; unplanned cash requirements and expenditures; competitive factors; the company’s ability to obtain, maintain and enforce patent and other intellectual property protection for any product candidates it is developing; the company’s ability to establish and maintain key collaborations; and general economic and market conditions. These and other risks are described in greater detail under the caption “Risk Factors” included in the company’s public filings with the SEC. Any forward-looking statements contained in this proxy statement speak only as of the date hereof, and the company expressly disclaims any obligation to update any forward-looking statements, whether as a result of new information, future events or otherwise, except as required by law.</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82"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256"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and, if applicable, our annual report and other proxy materials, with respect to two or more stockholders sharing the same address by delivering a single Notice and, if applicable, a single set of our annual report and proxy materials, addressed to those stockholders. This practice, which is commonly referred to as “householding,” potentially means extra convenience for stockholders and cost savings for companies.</w:t>
      </w:r>
    </w:p>
    <w:p>
      <w:pPr>
        <w:spacing w:after="0" w:line="180" w:lineRule="exact"/>
        <w:rPr>
          <w:sz w:val="20"/>
          <w:szCs w:val="20"/>
          <w:color w:val="auto"/>
        </w:rPr>
      </w:pPr>
    </w:p>
    <w:p>
      <w:pPr>
        <w:ind w:left="120" w:right="240" w:firstLine="771"/>
        <w:spacing w:after="0" w:line="261"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Notice and, if applicable, a single copy of our annual report and our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w:t>
      </w:r>
    </w:p>
    <w:p>
      <w:pPr>
        <w:spacing w:after="0" w:line="180" w:lineRule="exact"/>
        <w:rPr>
          <w:sz w:val="20"/>
          <w:szCs w:val="20"/>
          <w:color w:val="auto"/>
        </w:rPr>
      </w:pPr>
    </w:p>
    <w:p>
      <w:pPr>
        <w:ind w:left="120" w:firstLine="771"/>
        <w:spacing w:after="0" w:line="274" w:lineRule="auto"/>
        <w:rPr>
          <w:sz w:val="20"/>
          <w:szCs w:val="20"/>
          <w:color w:val="auto"/>
        </w:rPr>
      </w:pPr>
      <w:r>
        <w:rPr>
          <w:rFonts w:ascii="Times New Roman" w:cs="Times New Roman" w:eastAsia="Times New Roman" w:hAnsi="Times New Roman"/>
          <w:sz w:val="17"/>
          <w:szCs w:val="17"/>
          <w:color w:val="auto"/>
        </w:rPr>
        <w:t>If, at any time, you no longer wish to participate in “householding” and would prefer to receive a separate Notice and, if applicable, a separate set of our annual report and proxy materials in the future, please notify your broker or contact us. If you wish to receive a separate set of our annual report and proxy materials for this year’s Annual Meeting, we will deliver them promptly upon written or oral request. Stockholders who currently receive multiple copies of the Notice, and, if applicable, our annual report and other proxy materials at their addresses and would like to request “householding” of their communications should contact their brokers or us. To contact us, direct your written or oral request to: Agios Pharmaceuticals, Inc., 88 Sidney Street, Cambridge, MA 02139, Attention: Corporate Secretary, 617-649-8600 or contact Investor Relations at 617-649-8600.</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March 31, 2026, by:</w:t>
      </w:r>
    </w:p>
    <w:p>
      <w:pPr>
        <w:spacing w:after="0" w:line="131" w:lineRule="exact"/>
        <w:rPr>
          <w:sz w:val="20"/>
          <w:szCs w:val="20"/>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our principal financial officer and our other executive officers named in the Summary Compensation Table below, whom we collectively refer to as our named executive officers;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5" w:lineRule="exact"/>
        <w:rPr>
          <w:sz w:val="20"/>
          <w:szCs w:val="20"/>
          <w:color w:val="auto"/>
        </w:rPr>
      </w:pPr>
    </w:p>
    <w:p>
      <w:pPr>
        <w:ind w:left="120" w:right="40" w:firstLine="771"/>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59,341,338 shares of our common stock outstanding as of March 31, 2026. The number of shares beneficially owned by each stockholder is determined under rules of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March 31, 2026 are considered outstanding, although these shares are not considered outstanding for purposes of computing the percentage ownership of any other person. Unless otherwise indicated, the address of all listed stockholders is c/o Agios Pharmaceuticals, Inc., 88 Sidney Street, Cambridge, MA 02139. Each of the stockholders listed has sole voting and investment power with respect to the shares beneficially owned by the stockholder unless noted otherwise, subject to community property laws where applicable.</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and</w:t>
            </w:r>
          </w:p>
        </w:tc>
        <w:tc>
          <w:tcPr>
            <w:tcW w:w="620" w:type="dxa"/>
            <w:vAlign w:val="bottom"/>
          </w:tcPr>
          <w:p>
            <w:pPr>
              <w:spacing w:after="0"/>
              <w:rPr>
                <w:sz w:val="17"/>
                <w:szCs w:val="17"/>
                <w:color w:val="auto"/>
              </w:rPr>
            </w:pPr>
          </w:p>
        </w:tc>
        <w:tc>
          <w:tcPr>
            <w:tcW w:w="2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Beneficial Ownership</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20" w:type="dxa"/>
            <w:vAlign w:val="bottom"/>
          </w:tcPr>
          <w:p>
            <w:pPr>
              <w:spacing w:after="0"/>
              <w:rPr>
                <w:sz w:val="6"/>
                <w:szCs w:val="6"/>
                <w:color w:val="auto"/>
              </w:rPr>
            </w:pPr>
          </w:p>
        </w:tc>
        <w:tc>
          <w:tcPr>
            <w:tcW w:w="2020" w:type="dxa"/>
            <w:vAlign w:val="bottom"/>
            <w:tcBorders>
              <w:bottom w:val="single" w:sz="8" w:color="auto"/>
            </w:tcBorders>
            <w:gridSpan w:val="5"/>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5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Acquirable</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2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Within</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60 Days</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Number </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Percentage 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The Vanguard Group(1)</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5,599,917 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87"/>
              </w:rPr>
              <w:t>5,599,917 </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Farallon Capital Partners, L.P. (2)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5,195,505 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87"/>
              </w:rPr>
              <w:t>5,195,505 </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BlackRock, Inc.(3)</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4,513,170 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87"/>
              </w:rPr>
              <w:t>4,513,170 </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Street Corporation(4)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3,108,145 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87"/>
              </w:rPr>
              <w:t>3,108,145 </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Armistice Capital, LLC(5)</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3,036,000 </w:t>
            </w:r>
          </w:p>
        </w:tc>
        <w:tc>
          <w:tcPr>
            <w:tcW w:w="6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87"/>
              </w:rPr>
              <w:t>3,036,000 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James Burns</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44,086 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176,851 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220,937 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Sarah Gheuens, M.D., Ph.D.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74,406 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115,507 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189,913 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Brian Goff</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164,548 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757,288 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921,836 </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Cecilia Jones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49,639 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173,734 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223,373 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Krishnan Viswanadhan, Pharm.D.</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5,141 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28,839 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33,980 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Jacqualyn A. Fouse, Ph.D.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151,340 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872,778 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87"/>
              </w:rPr>
              <w:t>1,024,118 </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Jay Backstrom, M.D., M.P.H.</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Rahul Ballal, Ph.D.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12,414 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46,306 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58,720 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Jeffrey Capello</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6,073 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35,966 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42,039 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Kaye Foster(6)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9,668 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62,642 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72,310 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Maykin Ho, Ph.D.</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17,032 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107,642 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124,674 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Catherine Owen Adams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6,073 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35,966 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42,039 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David Scadden, M.D.</w:t>
            </w: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17,603 </w:t>
            </w:r>
          </w:p>
        </w:tc>
        <w:tc>
          <w:tcPr>
            <w:tcW w:w="6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113,242 </w:t>
            </w:r>
          </w:p>
        </w:tc>
        <w:tc>
          <w:tcPr>
            <w:tcW w:w="62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130,845 </w:t>
            </w:r>
          </w:p>
        </w:tc>
        <w:tc>
          <w:tcPr>
            <w:tcW w:w="58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Cynthia Smith</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12,424 </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66,306 </w:t>
            </w: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78,720 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 (15 persons)</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612,028 </w:t>
            </w:r>
          </w:p>
        </w:tc>
        <w:tc>
          <w:tcPr>
            <w:tcW w:w="6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2,753,476 </w:t>
            </w:r>
          </w:p>
        </w:tc>
        <w:tc>
          <w:tcPr>
            <w:tcW w:w="6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87"/>
              </w:rPr>
              <w:t>3,365,504 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hanging="5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306" w:lineRule="exact"/>
        <w:rPr>
          <w:sz w:val="20"/>
          <w:szCs w:val="20"/>
          <w:color w:val="auto"/>
        </w:rPr>
      </w:pPr>
    </w:p>
    <w:p>
      <w:pPr>
        <w:ind w:left="660" w:hanging="544"/>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12, 2024. The Vanguard Group, or Vanguard, is deemed to be the beneficial owner of 5,599,917 shares of common stock, with respect to which it reported shared voting power over 38,887 shares, sole dispositive power over 5,497,393 shares and shared dispositive power over 102,524 shares. In the most recent Schedule 13G/A filed on March 26, 2026, the Vanguard Group subsequently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of subsidiaries of the Vanguard Group that formerly had, or were deemed to have, beneficial ownership with The Vanguard Group, will report beneficial ownership separately (on a disaggregated basis). The address of Vanguard is 100 Vanguard Blvd., Malvern, PA 19355.</w:t>
      </w:r>
    </w:p>
    <w:p>
      <w:pPr>
        <w:spacing w:after="0" w:line="272" w:lineRule="exact"/>
        <w:rPr>
          <w:rFonts w:ascii="Times New Roman" w:cs="Times New Roman" w:eastAsia="Times New Roman" w:hAnsi="Times New Roman"/>
          <w:sz w:val="18"/>
          <w:szCs w:val="18"/>
          <w:color w:val="auto"/>
        </w:rPr>
      </w:pPr>
    </w:p>
    <w:p>
      <w:pPr>
        <w:ind w:left="660" w:hanging="544"/>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9, 2026 by Farallon Capital Partners, L.P. and the following associated entities and persons: Farallon Capital Institutional Partners, L.P., Farallon Capital Institutional Partners II, L.P., Farallon Capital Institutional Partners III, L.P., Four Crossings Institutional Partners V, L.P., Farallon Capital Offshore Investors II, L.P., Farallon Capital F5 Master I, L.P., Farallon Capital (AM) Investors, L.P., Farallon Healthcare Partners Master, L.P., Farallon Partners, L.L.C., Farallon Institutional (GP) V, L.L.C., Farallon F5 (GP), L.L.C., Farallon Healthcare Partners (GP), L.L.C., Joshua J. Dapice, Philip D. Dreyfuss, Hannah E. Dunn, Varun N. Gehani, Nicolas Giauque, Avner A. Husen, David T. Kim, Michael G. Linn, Patrick (Cheng) Luo, Thomas G. Roberts, Jr., Edric C. Saito, Daniel S. Short, Andrew J. M. Spokes, John R. Warren, and Mark C. Wehrly, or collectively, the Farallon Reporting Persons, reporting beneficial ownership, consisting of shared voting power and shared dispositive power over these shares. The address of the Farallon Reporting Persons is c/o Farallon Capital Management, L.L.C., One Maritime Plaza, Suite 2100, San Francisco, California 94111.</w:t>
      </w:r>
    </w:p>
    <w:p>
      <w:pPr>
        <w:spacing w:after="0" w:line="269" w:lineRule="exact"/>
        <w:rPr>
          <w:rFonts w:ascii="Times New Roman" w:cs="Times New Roman" w:eastAsia="Times New Roman" w:hAnsi="Times New Roman"/>
          <w:sz w:val="18"/>
          <w:szCs w:val="18"/>
          <w:color w:val="auto"/>
        </w:rPr>
      </w:pPr>
    </w:p>
    <w:p>
      <w:pPr>
        <w:ind w:left="660" w:right="60" w:hanging="544"/>
        <w:spacing w:after="0" w:line="289"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13G/A filed with the SEC on July 17, 2025 by BlackRock, Inc., or BlackRock, and certain of its subsidiaries. BlackRock is deemed to be the beneficial owner of 4,513,170 shares of common stock, with respect to which it reported sole voting power over 4,375,383 shares and sole dispositive power over 4,513,170 shares. The address of BlackRock is 50 Hudson Yards, New York, NY 10001.</w:t>
      </w:r>
    </w:p>
    <w:p>
      <w:pPr>
        <w:spacing w:after="0" w:line="238" w:lineRule="exact"/>
        <w:rPr>
          <w:rFonts w:ascii="Times New Roman" w:cs="Times New Roman" w:eastAsia="Times New Roman" w:hAnsi="Times New Roman"/>
          <w:sz w:val="17"/>
          <w:szCs w:val="17"/>
          <w:color w:val="auto"/>
        </w:rPr>
      </w:pPr>
    </w:p>
    <w:p>
      <w:pPr>
        <w:jc w:val="both"/>
        <w:ind w:left="660" w:hanging="544"/>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9, 2026. State Street Corporation, or State Street, is deemed to be the beneficial owner of 3,108,145 shares of common stock, with respect to which it reported shared voting power over 2,926,200 shares and shared dispositive power over 3,108,145 shares. The address of State Street Corporation is One Congress Street, Suite 1, Boston, Massachusetts 02114.</w:t>
      </w:r>
    </w:p>
    <w:p>
      <w:pPr>
        <w:spacing w:after="0" w:line="256" w:lineRule="exact"/>
        <w:rPr>
          <w:rFonts w:ascii="Times New Roman" w:cs="Times New Roman" w:eastAsia="Times New Roman" w:hAnsi="Times New Roman"/>
          <w:sz w:val="18"/>
          <w:szCs w:val="18"/>
          <w:color w:val="auto"/>
        </w:rPr>
      </w:pPr>
    </w:p>
    <w:p>
      <w:pPr>
        <w:ind w:left="660" w:hanging="544"/>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17, 2026. The shares of common stock are held by Armistice Capital Master Fund Ltd., or Armistice Master Fund, and may be deemed to be beneficially owned by: (i) Armistice Capital, LLC, or Armistice Capital, as the investment manager of the Armistice Master Fund; and (ii) Steven Boyd, as the Managing Member of Armistice Capital. Armistice Capital LLC and Steven Boyd reported shared voting and dispositive power over the shares. The address of Armistice Capital is Armistice Capital, LLC, 510 Madison Avenue, 7th Floor, New York, NY 10022.</w:t>
      </w:r>
    </w:p>
    <w:p>
      <w:pPr>
        <w:spacing w:after="0" w:line="88"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held by the Foster Family Revocable Trust.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82"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Under Section 16(a) of the Exchange Act, directors, executive officers, our principal accounting officer and beneficial owners of 10% or more of our common stock, or reporting persons, are required to report to the SEC on a timely basis the initiation of their status as a reporting person and any changes with respect to their beneficial ownership of our common stock. Based solely on our review of copies of such forms that we have received, or written representations from reporting persons, we believe that during the fiscal year ended December 31, 2025, all reporting persons complied with all applicable filing requirements, except with respect to a Form 4 filing by Dr. Scadden on July 15, 2025 to report the exercise of a stock option on July 10, 2025 and sale of shares on July 10, 2025, and a Form 4 filing by Theodore Washburn, our principal accounting officer, on February 5, 20245 to report the vesting of restricted stock units on February 1, 2025.</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34" w:lineRule="exact"/>
        <w:rPr>
          <w:sz w:val="20"/>
          <w:szCs w:val="20"/>
          <w:color w:val="auto"/>
        </w:rPr>
      </w:pPr>
    </w:p>
    <w:p>
      <w:pPr>
        <w:ind w:left="120" w:right="120" w:firstLine="771"/>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220" w:lineRule="exact"/>
        <w:rPr>
          <w:sz w:val="20"/>
          <w:szCs w:val="20"/>
          <w:color w:val="auto"/>
        </w:rPr>
      </w:pPr>
    </w:p>
    <w:p>
      <w:pPr>
        <w:ind w:left="120" w:right="120" w:firstLine="771"/>
        <w:spacing w:after="0" w:line="261" w:lineRule="auto"/>
        <w:rPr>
          <w:sz w:val="20"/>
          <w:szCs w:val="20"/>
          <w:color w:val="auto"/>
        </w:rPr>
      </w:pPr>
      <w:r>
        <w:rPr>
          <w:rFonts w:ascii="Times New Roman" w:cs="Times New Roman" w:eastAsia="Times New Roman" w:hAnsi="Times New Roman"/>
          <w:sz w:val="18"/>
          <w:szCs w:val="18"/>
          <w:color w:val="auto"/>
        </w:rPr>
        <w:t>The term of office of our Class I directors, Rahul Ballal, Ph.D., Brian Goff and Cynthia Smith, will expire at the Annual Meeting. The nominees for Class I directors for election at the Annual Meeting are Dr. Ballal, Mr. Goff and Ms. Smith. If any of Dr. Ballal, Mr. Goff or Ms. Smith is elected at the Annual Meeting, such individual will be elected to serve for a three-year term that will expire at our 2029 annual meeting of stockholders and until such individual’s successor is elected and qualified.</w:t>
      </w:r>
    </w:p>
    <w:p>
      <w:pPr>
        <w:spacing w:after="0" w:line="220" w:lineRule="exact"/>
        <w:rPr>
          <w:sz w:val="20"/>
          <w:szCs w:val="20"/>
          <w:color w:val="auto"/>
        </w:rPr>
      </w:pPr>
    </w:p>
    <w:p>
      <w:pPr>
        <w:jc w:val="both"/>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If no contrary indication is made, proxies in the accompanying form will be voted for Dr. Ballal, Mr. Goff and Ms. Smith or, in the event that any of Dr. Ballal, Mr. Goff or Ms. Smith is not a candidate or is unable to serve as a director at the time of the election (which is not currently expected), for any nominee who is designated by our board of directors to fill the vacancy.</w:t>
      </w:r>
    </w:p>
    <w:p>
      <w:pPr>
        <w:spacing w:after="0" w:line="203"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 of professional accomplishment, the ability to contribute positively to the collaborative culture among board members, knowledge of our business, understanding of the competitive landscape and adherence to high ethical standards. Certain individual qualifications and skills of our directors that contribute to the board of directors’ effectiveness as a whole are described in the following paragraphs.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Directors</w:t>
      </w:r>
    </w:p>
    <w:p>
      <w:pPr>
        <w:spacing w:after="0" w:line="256"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The following paragraphs provide information as of the date of this Proxy Statement about each director and nominee for director, as furnished to us by the directors and nominees for director. The information presented includes information each such individual has given us about his or her age, all positions he or she holds, his or her principal occupation and business experience for the past five years, and the names of other publicly-held companies of which he or she currently serves as a director or has served as a director during the past five years. In addition to the information presented below regarding each such individual’s specific experience, qualifications, attributes and skills that led our board of directors to the conclusion that he or she should serve as a director, we also believe that each of our directors and director nominees has a reputation for integrity, honesty and adherence to high ethical standards. Each has demonstrated business acumen and an ability to exercise sound judgment, as well as a commitment of service to our company and our board of directors. Finally, we value their significant experience on other public company boards of directors and board committees.</w:t>
      </w:r>
    </w:p>
    <w:p>
      <w:pPr>
        <w:spacing w:after="0" w:line="229" w:lineRule="exact"/>
        <w:rPr>
          <w:sz w:val="20"/>
          <w:szCs w:val="20"/>
          <w:color w:val="auto"/>
        </w:rPr>
      </w:pPr>
    </w:p>
    <w:p>
      <w:pPr>
        <w:ind w:left="120" w:right="420" w:firstLine="771"/>
        <w:spacing w:after="0" w:line="282" w:lineRule="auto"/>
        <w:rPr>
          <w:sz w:val="20"/>
          <w:szCs w:val="20"/>
          <w:color w:val="auto"/>
        </w:rPr>
      </w:pPr>
      <w:r>
        <w:rPr>
          <w:rFonts w:ascii="Times New Roman" w:cs="Times New Roman" w:eastAsia="Times New Roman" w:hAnsi="Times New Roman"/>
          <w:sz w:val="18"/>
          <w:szCs w:val="18"/>
          <w:color w:val="auto"/>
        </w:rPr>
        <w:t>Information about the number of shares of common stock beneficially owned by each of our directors and nominees for director appears above under the heading “Security Ownership of Certain Beneficial Owners and Management.”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no family relationships between or among any of our executive officers, directors or nominees for director.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40" w:type="dxa"/>
            <w:vAlign w:val="bottom"/>
            <w:gridSpan w:val="4"/>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9"/>
              </w:rPr>
              <w:t>Nominees for Election to the Board of Directors</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20" w:type="dxa"/>
            <w:vAlign w:val="bottom"/>
            <w:gridSpan w:val="5"/>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Term Expiring at the 2029 Annual Meeting of Stockholders, if elected at the Annual Meeting (Class I)</w:t>
            </w:r>
          </w:p>
        </w:tc>
        <w:tc>
          <w:tcPr>
            <w:tcW w:w="0" w:type="dxa"/>
            <w:vAlign w:val="bottom"/>
          </w:tcPr>
          <w:p>
            <w:pPr>
              <w:spacing w:after="0"/>
              <w:rPr>
                <w:sz w:val="1"/>
                <w:szCs w:val="1"/>
                <w:color w:val="auto"/>
              </w:rPr>
            </w:pPr>
          </w:p>
        </w:tc>
      </w:tr>
      <w:tr>
        <w:trPr>
          <w:trHeight w:val="491"/>
        </w:trPr>
        <w:tc>
          <w:tcPr>
            <w:tcW w:w="120" w:type="dxa"/>
            <w:vAlign w:val="bottom"/>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Agios Pharmaceuticals, Inc.</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(as of April 1, 2026)</w:t>
            </w:r>
          </w:p>
        </w:tc>
        <w:tc>
          <w:tcPr>
            <w:tcW w:w="4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Ballal, Ph.D.</w:t>
            </w:r>
          </w:p>
        </w:tc>
        <w:tc>
          <w:tcPr>
            <w:tcW w:w="16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88"/>
              </w:rPr>
              <w:t>48</w:t>
            </w:r>
          </w:p>
        </w:tc>
        <w:tc>
          <w:tcPr>
            <w:tcW w:w="11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Goff</w:t>
            </w:r>
          </w:p>
        </w:tc>
        <w:tc>
          <w:tcPr>
            <w:tcW w:w="4820" w:type="dxa"/>
            <w:vAlign w:val="bottom"/>
            <w:gridSpan w:val="4"/>
          </w:tcPr>
          <w:p>
            <w:pPr>
              <w:ind w:left="3520"/>
              <w:spacing w:after="0"/>
              <w:rPr>
                <w:sz w:val="20"/>
                <w:szCs w:val="20"/>
                <w:color w:val="auto"/>
              </w:rPr>
            </w:pPr>
            <w:r>
              <w:rPr>
                <w:rFonts w:ascii="Times New Roman" w:cs="Times New Roman" w:eastAsia="Times New Roman" w:hAnsi="Times New Roman"/>
                <w:sz w:val="18"/>
                <w:szCs w:val="18"/>
                <w:color w:val="auto"/>
              </w:rPr>
              <w:t>57</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Smith</w:t>
            </w:r>
          </w:p>
        </w:tc>
        <w:tc>
          <w:tcPr>
            <w:tcW w:w="4820" w:type="dxa"/>
            <w:vAlign w:val="bottom"/>
            <w:gridSpan w:val="4"/>
            <w:shd w:val="clear" w:color="auto" w:fill="CCEEFF"/>
          </w:tcPr>
          <w:p>
            <w:pPr>
              <w:ind w:left="3520"/>
              <w:spacing w:after="0"/>
              <w:rPr>
                <w:sz w:val="20"/>
                <w:szCs w:val="20"/>
                <w:color w:val="auto"/>
              </w:rPr>
            </w:pPr>
            <w:r>
              <w:rPr>
                <w:rFonts w:ascii="Times New Roman" w:cs="Times New Roman" w:eastAsia="Times New Roman" w:hAnsi="Times New Roman"/>
                <w:sz w:val="18"/>
                <w:szCs w:val="18"/>
                <w:color w:val="auto"/>
              </w:rPr>
              <w:t>57</w:t>
            </w:r>
          </w:p>
        </w:tc>
        <w:tc>
          <w:tcPr>
            <w:tcW w:w="4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bl>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right="20" w:firstLine="771"/>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Rahul Ballal, Ph.D. </w:t>
      </w:r>
      <w:r>
        <w:rPr>
          <w:rFonts w:ascii="Times New Roman" w:cs="Times New Roman" w:eastAsia="Times New Roman" w:hAnsi="Times New Roman"/>
          <w:sz w:val="17"/>
          <w:szCs w:val="17"/>
          <w:color w:val="auto"/>
        </w:rPr>
        <w:t>has served as a member of our board of directors since August 2022. Dr. Ballal has served as chief executive officer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Mediar Therapeutics Inc., or Mediar, a private biotechnology company, since March 2023. Prior to that, he served as President and Chief Executive Officer of Imara, Inc. or Imara, a publicly traded biotechnology company, from June 2018 until its merger with Enliven Therapeutics, Inc., or Enliven, in February 2023. Prior to joining Imara, Dr. Ballal served as Chief Business Officer of Northern Biologics Inc., a biotechnology company, from May 2016 to June 2018, and as an Entrepreneur-in-Residence at Versant Ventures Management LLC, a life sciences venture capital firm. Previously, Dr. Ballal was Vice President, Business Development at Flexion Therapeutics, Inc., or Flexion, a publicly traded biopharmaceutical company, from March 2011 to May 2016. Dr. Ballal serves on the boards of directors of Mediar and Enliven, and on the boards of directors of private biotechnology companies Vaderis Therapeutics AG and InduPro, Inc. Dr. Ballal received his Ph.D. in biochemistry and molecular biology from Georgetown University, his M.S. in bioinformatics from Johns Hopkins University and his B.A. in biology from Brown University. We believe Dr. Ballal is qualified to serve on our board of directors based on his broad experience in the life sciences industry, including in various investment, operating and leadership roles.</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Brian Goff </w:t>
      </w:r>
      <w:r>
        <w:rPr>
          <w:rFonts w:ascii="Times New Roman" w:cs="Times New Roman" w:eastAsia="Times New Roman" w:hAnsi="Times New Roman"/>
          <w:sz w:val="18"/>
          <w:szCs w:val="18"/>
          <w:color w:val="auto"/>
        </w:rPr>
        <w:t>has served as our chief executive officer and a member of our board of directors since August 2022. Prior to joining Agios,</w:t>
      </w:r>
    </w:p>
    <w:p>
      <w:pPr>
        <w:spacing w:after="0" w:line="29"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Mr. Goff served as Executive Vice President, Chief Commercial and Global Operations Officer of Alexion Pharmaceuticals, Inc. or Alexion, from June 2017 to July 2021. Mr. Goff led the global commercial and operations teams at Alexion, which included responsibility for country operations in each of Alexion’s affiliates in North America, EMEA, Japan, Asia Pacific, and Latin America. Prior to joining Alexion in June 2017, Mr. Goff was Chief Operating Officer and a member of the board of directors of Neurovance, Inc., a biopharmaceutical company, from December 2016 until its acquisition by Otsuka Pharmaceuticals Co., Ltd. in March 2017. Prior to joining Neurovance, Mr. Goff served as the Executive Vice President &amp; President — Hematology Division of Baxalta Incorporated, a biopharmaceutical company, from January 2015 to July 2016 until its acquisition by Shire plc. He previously served with Baxter Healthcare Corporation as Global Hemophilia Franchise Head from June 2012 to December 2014. Earlier in his career, Mr. Goff held positions of increasing responsibility in sales and marketing roles with Novartis Pharmaceuticals, and the pharmaceutical division of Johnson &amp; Johnson. Mr. Goff currently serves on the board of directors and nominating and corporate governance committee and chairs the compensation and talent development committee of publicly traded biotechnology company Intellia Therapeutics, Inc. Mr. Goff has an M.B.A. from the Wharton School at the University of Pennsylvania and a B.A. from Skidmore College. We believe Mr. Goff is qualified to serve as a member of our board of directors due to his more than 30 years of industry experience, including executive commercial leadership experience in rare diseases and international operations.</w:t>
      </w:r>
    </w:p>
    <w:p>
      <w:pPr>
        <w:spacing w:after="0" w:line="217" w:lineRule="exact"/>
        <w:rPr>
          <w:sz w:val="20"/>
          <w:szCs w:val="20"/>
          <w:color w:val="auto"/>
        </w:rPr>
      </w:pPr>
    </w:p>
    <w:p>
      <w:pPr>
        <w:ind w:left="120" w:right="24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Cynthia Smith </w:t>
      </w:r>
      <w:r>
        <w:rPr>
          <w:rFonts w:ascii="Times New Roman" w:cs="Times New Roman" w:eastAsia="Times New Roman" w:hAnsi="Times New Roman"/>
          <w:sz w:val="18"/>
          <w:szCs w:val="18"/>
          <w:color w:val="auto"/>
        </w:rPr>
        <w:t>has served as a member of our board of directors since August 2022. Since January 2017, Ms. Smith has consulted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advisor for biotechnology companies. Previously, she served as Chief Commercial Officer and a member of the Executive Committee of ZS Pharma, Inc., or ZS Pharma, a specialty pharmaceutical company developing therapies for treatment of hyperkalemia and liver diseases, from 2013 to 2016, where she led efforts to transition the company from a development stage company to a commercial enterprise. ZS Pharma was acquired by AstraZeneca in 2015. Prior to ZS Pharma, Ms. Smith served as Vice President, Market Access and Commercial Development at Affymax, Inc., a biopharmaceutical company, from</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73"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2008 to 2013. From 2000 to 2008, she held various senior leadership positions in market access, corporate strategy, government relations and external affairs at Merck &amp; Co. Before beginning her career in the biopharmaceutical industry, Ms. Smith served as a healthcare policy analyst in the Office of Management and Budget at the White House from 1995 to 2000. Ms. Smith currently serves on the boards of directors of publicly traded biotechnology companies Akebia Therapeutics, Inc. Protara Therapeutics, Inc., Spero Therapeutics, Inc. and Tvardi Therapeutics, Inc., and on the board of directors of the French-American Foundation. Ms. Smith previously served on the board of directors of Nivalis Therapeutics, Inc. from November 2016 to July 2017 and on the board of directors of Dicerna Pharmaceuticals, Inc. from August 2018 until its acquisition by Novo Nordisk A/S in 2021. Ms. Smith earned a B.A. from the University of North Carolina at Chapel Hill, an M.B.A. from the Wharton School and an M.S. in public policy from the Eagleton Institute of Politics at Rutgers University. We believe that Ms. Smith is qualified to serve on our board of directors due to her more than two decades of broad leadership experience within the biopharmaceutical industry.</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Members of the Board of Directors Continuing in Office</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 Expiring at the 2027</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Annual Meeting of Stockholders (Class II)</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Age</w:t>
            </w:r>
          </w:p>
        </w:tc>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Agios Pharmaceuticals, Inc.</w:t>
            </w:r>
          </w:p>
        </w:tc>
        <w:tc>
          <w:tcPr>
            <w:tcW w:w="0" w:type="dxa"/>
            <w:vAlign w:val="bottom"/>
          </w:tcPr>
          <w:p>
            <w:pPr>
              <w:spacing w:after="0"/>
              <w:rPr>
                <w:sz w:val="1"/>
                <w:szCs w:val="1"/>
                <w:color w:val="auto"/>
              </w:rPr>
            </w:pPr>
          </w:p>
        </w:tc>
      </w:tr>
      <w:tr>
        <w:trPr>
          <w:trHeight w:val="238"/>
        </w:trPr>
        <w:tc>
          <w:tcPr>
            <w:tcW w:w="3680" w:type="dxa"/>
            <w:vAlign w:val="bottom"/>
            <w:gridSpan w:val="2"/>
            <w:vMerge w:val="continue"/>
          </w:tcPr>
          <w:p>
            <w:pPr>
              <w:spacing w:after="0"/>
              <w:rPr>
                <w:sz w:val="20"/>
                <w:szCs w:val="20"/>
                <w:color w:val="auto"/>
              </w:rPr>
            </w:pPr>
          </w:p>
        </w:tc>
        <w:tc>
          <w:tcPr>
            <w:tcW w:w="272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w w:val="97"/>
              </w:rPr>
              <w:t>(as of April 1, 2026)</w:t>
            </w:r>
          </w:p>
        </w:tc>
        <w:tc>
          <w:tcPr>
            <w:tcW w:w="4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Kaye Foster</w:t>
            </w:r>
          </w:p>
        </w:tc>
        <w:tc>
          <w:tcPr>
            <w:tcW w:w="5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Maykin Ho, Ph.D.</w:t>
            </w:r>
          </w:p>
        </w:tc>
        <w:tc>
          <w:tcPr>
            <w:tcW w:w="27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73</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Capello</w:t>
            </w:r>
          </w:p>
        </w:tc>
        <w:tc>
          <w:tcPr>
            <w:tcW w:w="272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61</w:t>
            </w:r>
          </w:p>
        </w:tc>
        <w:tc>
          <w:tcPr>
            <w:tcW w:w="4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Owen Adams</w:t>
            </w:r>
          </w:p>
        </w:tc>
        <w:tc>
          <w:tcPr>
            <w:tcW w:w="27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55</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20" w:right="40" w:firstLine="77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Kaye Foster </w:t>
      </w:r>
      <w:r>
        <w:rPr>
          <w:rFonts w:ascii="Times New Roman" w:cs="Times New Roman" w:eastAsia="Times New Roman" w:hAnsi="Times New Roman"/>
          <w:sz w:val="18"/>
          <w:szCs w:val="18"/>
          <w:color w:val="auto"/>
        </w:rPr>
        <w:t>has served as a member of our board of directors since December 2014. Ms. Foster has nearly 30 years of experience in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in the pharmaceutical industry and has been a Senior Advisor at the Boston Consulting Group since 2014 and in January 2022 joined ARCH Venture Partners as a venture partner. Previously, she was Senior Vice President, Global Human Resources at Onyx Pharmaceuticals, Inc., an Amgen, Inc., or Amgen, subsidiary and a biopharmaceutical company, or Onyx, from 2010 to 2014. At Onyx, which was acquired by Amgen in 2013, she led all aspects of human resources for U.S. and global operations. Prior to joining Onyx, Ms. Foster was Global Vice President of Human Resources and an Executive Committee member at Johnson and Johnson Corporation, a publicly traded healthcare company, from 2003 to 2010. Before Johnson and Johnson, Ms. Foster held several senior human resources executive positions with Pfizer Inc., a publicly traded pharmaceuticals company, supporting its pharmaceuticals businesses in Japan, Asia, Africa, Middle East and Latin America and, notably, led the integration of both the Warner-Lambert and Pharmacia mergers for these regions. Prior to that, she gained 10 years of operational experience within The Yellow Pages. She currently serves on the board of directors and compensation committee of Prime Medicine, Inc., a publicly traded biotechnology company, on the board of directors and compensation and community equity committee of National Resilience Inc., a technology-focused biomanufacturing company, on the board of directors and compensation committee of Xaira Therapeutics, a private biotechnology company, and on the board and human resources committee of Spelman College. Ms. Foster formerly served on the Board of Trustees of the Glide Foundation, on the board of directors and compensation committee of Grail, Inc., or Grail, a private biotechnology company, prior to its acquisition by Illumina, Inc., or Illumina, and on the board of directors and compensation and facilities committees of Stanford Health Care, a hospital and healthcare system. She earned her undergraduate degree at Baruch College of the City University of New York and received her M.B.A. from Columbia University, Graduate School of Business. We believe Ms. Foster’s qualifications to serve on our board of directors include her extensive experience as an executive in the pharmaceuticals industry, including her experience in people management, compensation planning and driving and maintaining corporate culture.</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Maykin Ho, Ph.D. </w:t>
      </w:r>
      <w:r>
        <w:rPr>
          <w:rFonts w:ascii="Times New Roman" w:cs="Times New Roman" w:eastAsia="Times New Roman" w:hAnsi="Times New Roman"/>
          <w:sz w:val="18"/>
          <w:szCs w:val="18"/>
          <w:color w:val="auto"/>
        </w:rPr>
        <w:t>has served as a member of our board of directors since June 2015. Dr. Ho has more than 30 years of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and finance industries. She was a venture partner at Qiming Venture Partners, a venture capital firm in China and Hong Kong, for ten years untilJuly 2025. From July 1992 to February 2015, she held various positions at Goldman Sachs, a global investment bank, including: from 2010 to 2015, she served as advisory director of global healthcare investment banking; from 2002 to 2010, she served as partner and co-head of healthcare investment research; and from 1992 to 2010 she served as senior biotechnology research analyst. Prior to Goldman Sachs, Dr. Ho held various managerial positions at DuPont-Merck Pharmaceuticals, a global pharmaceutical company, and DuPont de Nemours &amp; Company. She is a member of the board of directors of BioMarin Pharmaceutical Inc., a publicly traded biopharmaceutical company; Kyntra Bio, Inc. (formerly Fibrogen, Inc.), a publicly traded biotechnology company; Neumora Therapeutics, Inc., a public biotechnology company; Parexel International, a privately-held, global pharmaceutical services company; and Pelage Pharmaceuticals, a private biotechnology company of. Dr. Ho also serves on the board of directors of</w:t>
      </w:r>
    </w:p>
    <w:p>
      <w:pPr>
        <w:spacing w:after="0" w:line="1" w:lineRule="exact"/>
        <w:rPr>
          <w:sz w:val="20"/>
          <w:szCs w:val="20"/>
          <w:color w:val="auto"/>
        </w:rPr>
      </w:pPr>
    </w:p>
    <w:p>
      <w:pPr>
        <w:ind w:left="120" w:right="220"/>
        <w:spacing w:after="0" w:line="252" w:lineRule="auto"/>
        <w:rPr>
          <w:sz w:val="20"/>
          <w:szCs w:val="20"/>
          <w:color w:val="auto"/>
        </w:rPr>
      </w:pPr>
      <w:r>
        <w:rPr>
          <w:rFonts w:ascii="Times New Roman" w:cs="Times New Roman" w:eastAsia="Times New Roman" w:hAnsi="Times New Roman"/>
          <w:sz w:val="18"/>
          <w:szCs w:val="18"/>
          <w:color w:val="auto"/>
        </w:rPr>
        <w:t>two non-profit research institutes: the Aaron Diamond AIDS Research Center and the Institute for Protein Innovation. In addition, she is a member of the Biotech Advisory Panel of The Stock Exchange of Hong Kong. Previously, Dr. Ho served on the board of directors of Grail prior to its acquisition by Illumina in 2021;and Parexel International when it was a publicly traded company. She was also a member of the investment committee of the Society of Neuroscience. She was a postdoctoral fellow at the pathology department of Harvard Medical School and a graduate of the Advanced Management Program at The Fuqua School of Business, Duke University. Dr. Ho received a Ph.D. in microbiology and immunology and a B.S. from the State University of New York, Downstate Medical Center. We believe Dr. Ho is qualified to serve on our board of directors due to her extensive experience in healthcare investment research and banking.</w:t>
      </w:r>
    </w:p>
    <w:p>
      <w:pPr>
        <w:spacing w:after="0" w:line="213" w:lineRule="exact"/>
        <w:rPr>
          <w:sz w:val="20"/>
          <w:szCs w:val="20"/>
          <w:color w:val="auto"/>
        </w:rPr>
      </w:pPr>
    </w:p>
    <w:p>
      <w:pPr>
        <w:ind w:left="120" w:firstLine="77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Jeffrey Capello </w:t>
      </w:r>
      <w:r>
        <w:rPr>
          <w:rFonts w:ascii="Times New Roman" w:cs="Times New Roman" w:eastAsia="Times New Roman" w:hAnsi="Times New Roman"/>
          <w:sz w:val="18"/>
          <w:szCs w:val="18"/>
          <w:color w:val="auto"/>
        </w:rPr>
        <w:t>has served on our board of directors since June 2023. Mr. Capello has served as the managing partner of Monomoy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financial advisory firm, since April 2021. Mr. Capello served as the Executive Vice President and Chief Financial Officer of Biogen Inc, a biopharmaceutical company, from December 2017 to August 2020. Prior to joining Biogen, Mr. Capello served as the Chief Financial Officer of Beacon Health Options, Inc., a behavioral health company, with responsibility for finance, human resources, information technology, real estate and procurement from October 2016 until November 2017. From July 2015 until September 2016, Mr. Capello was the founder and Chief Executive Officer of Monomoy Advisors. From July 2014 until June 2015 Mr. Capello served as the Executive Vice President and Chief Financial Officer of Ortho-Clinical Diagnostics, an in-vitro diagnostics company that was acquired by the Carlyle Group from Johnson &amp; Johnson, with responsibility for global finance and business development. From March 2010 to December 2013 Mr. Capello served as Chief Financial Officer and Executive Vice President of Boston Scientific Corporation, a medical device company. Mr. Capello joined Boston Scientific in June 2008 and served as Senior Vice President and Chief Accounting Officer until March 2010. From 2006 to 2008 he was the Senior Vice President and Chief Financial Officer with responsibilities for global finance and business development at PerkinElmer, Inc., a life sciences tool company. Previously, he served as PerkinElmer’s Vice President of Finance, Corporate Controller, Treasurer and Chief Accounting Officer from 2001 to 2006. Prior to his tenure at PerkinElmer, Mr. Capello was a Partner at PricewaterhouseCoopers LLP, both in the United States and in the Netherlands. Mr. Capello serves on the board of directors of Neogen Corporation, a publicly traded company that develops solutions for food and animal safety, and previously served on the boards of directors and chaired the audit committees of public biotechnology companies Sirtis Pharmaceuticals, Inc., OvaScience, Inc. and Flex Pharma, Inc. Mr. Capello holds a M.B.A. from Harvard Business School and a B.S. in Business Administration from the University of Vermont. We believe that Mr. Capello is qualified to serve on our board of directors due to his over 30 years of industry experience, including extensive experience as a senior finance executive.</w:t>
      </w:r>
    </w:p>
    <w:p>
      <w:pPr>
        <w:spacing w:after="0" w:line="193" w:lineRule="exact"/>
        <w:rPr>
          <w:sz w:val="20"/>
          <w:szCs w:val="20"/>
          <w:color w:val="auto"/>
        </w:rPr>
      </w:pPr>
    </w:p>
    <w:p>
      <w:pPr>
        <w:ind w:left="120" w:right="16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Catherine Owen Adams </w:t>
      </w:r>
      <w:r>
        <w:rPr>
          <w:rFonts w:ascii="Times New Roman" w:cs="Times New Roman" w:eastAsia="Times New Roman" w:hAnsi="Times New Roman"/>
          <w:sz w:val="18"/>
          <w:szCs w:val="18"/>
          <w:color w:val="auto"/>
        </w:rPr>
        <w:t>has served as a member of our board of directors since June 2023. Ms. Owen Adams has served as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as a member of the board of directors of Acadia Pharmaceuticals Inc. since September 2024. Prior to that, Ms. Owen Adams was Senior Vice President, Major Markets at Bristol-Myers Squibb, or BMS, a global biopharmaceutical company, overseeing commercial operations for the business in 18 countries including Japan, Germany, France, and others across Europe.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Ms. Owen Adams joined BMS in 2019 from Johnson &amp; Johnson Corporation, or J&amp;J, a healthcare company, where she served as President of Janssen Immunology North America from 2018 to 2019, which launched new products in Crohn’s disease and psoriasis and led the development of J&amp;J’s biosimilars strategy. Prior to leading Janssen Immunology, Ms. Owen Adams was the President of the Infectious Diseases business in the US from 2016 to 2018, responsible for the HIV, RSV, Flu, and Hepatitis B pipeline. Prior to that Ms. Owen Adams worked in various functions and businesses at J&amp;J and led the launches of multiple products in both Europe and the United States. Ms. Owen Adams began her career in the pharmaceutical industry in 1992 at AstraZeneca in London as a production support pharmacist. Ms. Owen Adams currently serves on the board of directors of AssistRx, a privately held company. Ms. Owen Adams was formerly on the board of directors and chair of the compensation committee for Optinose PLC, a public specialty pharmaceutical company, and was on the board of directors of Robert Wood Johnson University Hospitals, a non-profit organization. Ms. Owen Adams earned her Bachelor of Science degree in pharmacy from the University of Manchester and completed her registered pharmacy degree and was a member of the Royal Pharmaceutical Society of Great Britain, MRPhs. We believe that Ms. Owen Adams is qualified to serve on our board of directors because of her extensive commercial experience in the biotechnology industry.</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 Expiring at the 2028</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Annual Meeting of Stockholders (Class III)</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Age</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 with Agios Pharmaceuticals, Inc.</w:t>
            </w:r>
          </w:p>
        </w:tc>
        <w:tc>
          <w:tcPr>
            <w:tcW w:w="0" w:type="dxa"/>
            <w:vAlign w:val="bottom"/>
          </w:tcPr>
          <w:p>
            <w:pPr>
              <w:spacing w:after="0"/>
              <w:rPr>
                <w:sz w:val="1"/>
                <w:szCs w:val="1"/>
                <w:color w:val="auto"/>
              </w:rPr>
            </w:pPr>
          </w:p>
        </w:tc>
      </w:tr>
      <w:tr>
        <w:trPr>
          <w:trHeight w:val="238"/>
        </w:trPr>
        <w:tc>
          <w:tcPr>
            <w:tcW w:w="3620" w:type="dxa"/>
            <w:vAlign w:val="bottom"/>
            <w:gridSpan w:val="2"/>
            <w:vMerge w:val="continue"/>
          </w:tcPr>
          <w:p>
            <w:pPr>
              <w:spacing w:after="0"/>
              <w:rPr>
                <w:sz w:val="20"/>
                <w:szCs w:val="20"/>
                <w:color w:val="auto"/>
              </w:rPr>
            </w:pPr>
          </w:p>
        </w:tc>
        <w:tc>
          <w:tcPr>
            <w:tcW w:w="26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w w:val="98"/>
              </w:rPr>
              <w:t>(as of April 1, 2026)</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Jacqualyn A. Fouse, Ph.D.</w:t>
            </w:r>
          </w:p>
        </w:tc>
        <w:tc>
          <w:tcPr>
            <w:tcW w:w="5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Scadden, M.D.</w:t>
            </w:r>
          </w:p>
        </w:tc>
        <w:tc>
          <w:tcPr>
            <w:tcW w:w="26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73</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Backstrom, M.D., M.P.H.</w:t>
            </w:r>
          </w:p>
        </w:tc>
        <w:tc>
          <w:tcPr>
            <w:tcW w:w="26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71</w:t>
            </w: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260" w:firstLine="77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Jacqualyn A. Fouse, Ph.D. </w:t>
      </w:r>
      <w:r>
        <w:rPr>
          <w:rFonts w:ascii="Times New Roman" w:cs="Times New Roman" w:eastAsia="Times New Roman" w:hAnsi="Times New Roman"/>
          <w:sz w:val="18"/>
          <w:szCs w:val="18"/>
          <w:color w:val="auto"/>
        </w:rPr>
        <w:t>served as our chief executive officer from February 2019 to August 2022, and has served as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December 2017. Dr. Fouse has served as the chair of our board of directors since August 2022. Dr. Fouse served as executive chair of Dermavant Sciences, Inc., a biopharmaceutical company, from July 2017 until September 2018. From September 2010 until June 2017, Dr. Fouse served in various capacities at Celgene Corporation, a biopharmaceutical company, or Celgene, serving as strategic advisor to the management executive committee from April 2017 to June 2017, president and chief operating officer from March 2016 to March 2017, president, hematology and oncology from August 2014 to February 2016, executive vice president and chief financial officer from February 2012 to July 2014,</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and senior vice president and chief financial officer from September 2010 to February 2012. Prior to joining Celgene, Dr. Fouse served as chief financial officer of Bunge Limited, or Bunge, a global agribusiness and food company, from 2007 to 2010. Prior to joining Bunge, Dr. Fouse served as senior vice president, chief financial officer and corporate strategy at Alcon Laboratories, Inc., or Alcon, a global medical company, from 2006 to 2007, and as its senior vice president and chief financial officer from 2002 to 2006. Prior to her time with Alcon she held a variety of senior leadership roles with international companies. Dr. Fouse is also a director and member of the audit and finance committee and nominating and corporate governance committee of Incyte Corporation, and a director and member of the audit committee, the nominating and governance committee and the compensation committee of Madrigal Pharmaceuticals, Inc., a publicly traded biopharmaceutical company, and was a director of Perrigo Company, a publicly traded pharmaceutical manufacturer, Celgene and Dick’s Sporting Goods, Inc., a publicly traded sporting goods retailer. Dr. Fouse also serves on the board of directors, and as Treasurer and member of the finance committee, of the non-profit organization Friends of Herring River and on the Northeast Chapter board and executive committee, and as Treasurer, of the non-profit organization the Society for Ecological Restoration. Dr. Fouse earned a B.A. and an M.A. in Economics and a Ph.D. in Finance from the University of Texas at Arlington. She also earned a Masters in Environmental Management from the Yale University School of Forestry and Environmental Studies and a Masters in Wildlife Forensics and Conservation from the University of Florida. We believe Dr. Fouse is qualified to serve as a member of our board of directors due to her extensive experience in the biotechnology sector and her international and senior leadership experience.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77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Scadden, M.D. </w:t>
      </w:r>
      <w:r>
        <w:rPr>
          <w:rFonts w:ascii="Times New Roman" w:cs="Times New Roman" w:eastAsia="Times New Roman" w:hAnsi="Times New Roman"/>
          <w:sz w:val="18"/>
          <w:szCs w:val="18"/>
          <w:color w:val="auto"/>
        </w:rPr>
        <w:t>has served as a member of our board of directors since May 2017. Dr. Scadden is a hematologist/oncologist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physician-scientist. He is the Gerald and Darlene Jordan Professor of Medicine at Harvard University, a position he has held since 2006. Since 1995, Dr. Scadden has practiced at the Massachusetts General Hospital, where he founded and directs the Center for Regenerative Medicine and directed the Hematologic Malignancies Center of the MGH Cancer Center for 10 years. Dr. Scadden co-founded and co-directs the Harvard Stem Cell Institute and is Chairman emeritus and Professor of the Harvard University Department of Stem Cell and Regenerative Biology. He is a member of the National Academy of Medicine, the American Academy of Arts and Sciences, is an affiliate member of the Broad Institute of Harvard and MIT and is a former member of the Board of External Experts for the National Heart, Lung and Blood Institute, the Board of Scientific Counselors for the National Cancer Institute, Board of Directors of the International Society for Stem Cell Research and the Executive Committee of the American Society of Hematology. Dr. Scadden is on the board of directors and organization, leadership and compensation committee of Editas Medicine, Inc., a publicly traded biotechnology company, and on the board of directors of the private biotechnology company Lightning Biotherapeutics. Dr. Scadden is also a scientific founder of Fate Therapeutics, Inc., a publicly traded biotechnology company, and was a scientific founder and member of the board of directors and scientific advisory board of Magenta Therapeutics, a publicly traded biotechnology company now merged with Dianthus Therapeutics, Inc. Dr. Scadden was also formerly on the board of directors and science committee of Carisma Therapeutics Inc., a publicly traded biotechnology company, and on the boards of directors of the private biotechnology companies LifeVault Bio, Sonata Therapeutics and Clear Creek Bio, Inc. He is the recipient of numerous honors including the E. Donnall Thomas and the Dameshek awards from the American Society of Hematology and awards from the Doris Duke Charitable Trust, the Ellison Medical Foundation, the Burroughs Welcome Fund, and the Leukemia and Lymphoma Society. Dr. Scadden holds degrees from Bucknell University, Case Western Reserve University and honorary degrees from Harvard University, Bucknell University, Case Western Reserve University and Lund University in Sweden. We believe Dr. Scadden is qualified to serve on our board of directors due to his scientific expertise in the field of hematology.</w:t>
      </w:r>
    </w:p>
    <w:p>
      <w:pPr>
        <w:spacing w:after="0" w:line="218"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Jay Backstrom, M.D., M.P.H. </w:t>
      </w:r>
      <w:r>
        <w:rPr>
          <w:rFonts w:ascii="Times New Roman" w:cs="Times New Roman" w:eastAsia="Times New Roman" w:hAnsi="Times New Roman"/>
          <w:sz w:val="18"/>
          <w:szCs w:val="18"/>
          <w:color w:val="auto"/>
        </w:rPr>
        <w:t>has served as a member of our board of directors since July 2025. Dr. Backstrom is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Kamino Therapeutics, Inc. and previously served as a director and President and Chief Executive Officer of Scholar Rock Holding Corporation, or Scholar Rock, from September 2022 to April 2025. Prior to joining Scholar Rock, from December 2019 to December 2021, Dr. Backstrom served as Executive Vice President, Research and Development at Acceleron Pharma, which was acquired by Merck in 2021.</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 Backstrom previously served as Chief Medical Officer of Celgene Corporation from April 2016 to December 2019, having served in other roles at Celgene from March 2008 to March 2016. Dr. Backstrom is a member of the Board of Directors of Be BioPharma, Inc. Dr. Backstrom previously served as a director of Lava Therapeutics N.V., Disc Medicine, Inc. and Autolus Therapeutics PLC. Dr. Backstrom earned his M.D. from Temple University School of Medicine, and holds an M.P.H. From St. Louis University School of Public Health. Our Board of Directors believes that Dr. Backstrom’s extensive scientific experience and his leadership skills qualify him to serve on our Board of Directors. We believe Dr. Backstrom is qualified to serve on our board of directors due to his extensive scientific experience and leadership skills.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ELECTION OF EACH OF DR. BALLAL, MR. GOFF AND MS. SMITH.</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70" w:lineRule="exact"/>
        <w:rPr>
          <w:sz w:val="20"/>
          <w:szCs w:val="20"/>
          <w:color w:val="auto"/>
        </w:rPr>
      </w:pPr>
    </w:p>
    <w:p>
      <w:pPr>
        <w:ind w:left="120" w:right="20" w:firstLine="771"/>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good corporate governance is important to ensure that Agios is managed for the long-term benefit of our stockholders. This section describes key corporate governance practices that we have adopted. We have adopted a code of business conduct and ethics, which applies to all of our officers, directors and employees, corporate governance guidelines and charters for our audit committee, our compensation &amp; people committee, our nominating and corporate governance committee and our science and technology committee. We have posted copies of our code of business conduct and ethics and corporate governance guidelines, as well as each of our committee charters, on the Corporate Governance page of the Investors section of our website, </w:t>
      </w:r>
      <w:r>
        <w:rPr>
          <w:rFonts w:ascii="Times New Roman" w:cs="Times New Roman" w:eastAsia="Times New Roman" w:hAnsi="Times New Roman"/>
          <w:sz w:val="18"/>
          <w:szCs w:val="18"/>
          <w:i w:val="1"/>
          <w:iCs w:val="1"/>
          <w:color w:val="auto"/>
        </w:rPr>
        <w:t>www.agios.com</w:t>
      </w:r>
      <w:r>
        <w:rPr>
          <w:rFonts w:ascii="Times New Roman" w:cs="Times New Roman" w:eastAsia="Times New Roman" w:hAnsi="Times New Roman"/>
          <w:sz w:val="18"/>
          <w:szCs w:val="18"/>
          <w:color w:val="auto"/>
        </w:rPr>
        <w:t>, which you can access free of charge. Information contained on the website is not incorporated by reference in, or considered part of, this Proxy Statement. We intend to disclose on our website any amendments to, or waivers from, our code of business conduct and ethics that are required to be disclosed by law or Nasdaq listing standards. We will also provide copies of these documents, as well as our other corporate governance documents, free of charge, to any stockholder upon written request to Investor Relations, at 88 Sidney Street, Cambridge, Massachusetts 02139; telephone: 617-649-8600; e-mail: IR@agios.com.</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ind w:left="120" w:right="140" w:firstLine="771"/>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Agios and our stockholders. These guidelines, which provide a framework for the conduct of our board’s business, provide that:</w:t>
      </w:r>
    </w:p>
    <w:p>
      <w:pPr>
        <w:spacing w:after="0" w:line="189" w:lineRule="exact"/>
        <w:rPr>
          <w:sz w:val="20"/>
          <w:szCs w:val="20"/>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board’s principal responsibility is to oversee the management of Agios;</w:t>
      </w:r>
    </w:p>
    <w:p>
      <w:pPr>
        <w:spacing w:after="0" w:line="25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shall be independent directors;</w:t>
      </w:r>
    </w:p>
    <w:p>
      <w:pPr>
        <w:spacing w:after="0" w:line="25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regularly in executive session;</w:t>
      </w:r>
    </w:p>
    <w:p>
      <w:pPr>
        <w:spacing w:after="0" w:line="252"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w:t>
      </w:r>
    </w:p>
    <w:p>
      <w:pPr>
        <w:spacing w:after="0" w:line="252"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 and</w:t>
      </w:r>
    </w:p>
    <w:p>
      <w:pPr>
        <w:spacing w:after="0" w:line="18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and its committees conduct a self-evaluation annually to determine whether they are functioning effectively.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56" w:lineRule="exact"/>
        <w:rPr>
          <w:sz w:val="20"/>
          <w:szCs w:val="20"/>
          <w:color w:val="auto"/>
        </w:rPr>
      </w:pPr>
    </w:p>
    <w:p>
      <w:pPr>
        <w:ind w:left="120" w:right="20" w:firstLine="771"/>
        <w:spacing w:after="0" w:line="277" w:lineRule="auto"/>
        <w:rPr>
          <w:sz w:val="20"/>
          <w:szCs w:val="20"/>
          <w:color w:val="auto"/>
        </w:rPr>
      </w:pPr>
      <w:r>
        <w:rPr>
          <w:rFonts w:ascii="Times New Roman" w:cs="Times New Roman" w:eastAsia="Times New Roman" w:hAnsi="Times New Roman"/>
          <w:sz w:val="17"/>
          <w:szCs w:val="17"/>
          <w:color w:val="auto"/>
        </w:rPr>
        <w:t>We are committed to building a sustainable business that provides long-term value for all our stakeholders. Central to our mission is our drive to improve the lives of patients with life-threatening and life-altering rare diseases, including those communities that have, until now, been underserved. We also support and advance a range of other responsibilities, such as: increasing access to medicines; furthering knowledge of rare conditions; promoting principles of inclusion inside and outside of the company; building a strong culture of flexibility and respect; supporting health equity; reducing our waste and energy usage; making a difference in our communities; and conducting our business according to the highest ethical standards.</w:t>
      </w:r>
    </w:p>
    <w:p>
      <w:pPr>
        <w:spacing w:after="0" w:line="208" w:lineRule="exact"/>
        <w:rPr>
          <w:sz w:val="20"/>
          <w:szCs w:val="20"/>
          <w:color w:val="auto"/>
        </w:rPr>
      </w:pPr>
    </w:p>
    <w:p>
      <w:pPr>
        <w:ind w:left="120" w:right="480" w:firstLine="771"/>
        <w:spacing w:after="0" w:line="282" w:lineRule="auto"/>
        <w:rPr>
          <w:sz w:val="20"/>
          <w:szCs w:val="20"/>
          <w:color w:val="auto"/>
        </w:rPr>
      </w:pPr>
      <w:r>
        <w:rPr>
          <w:rFonts w:ascii="Times New Roman" w:cs="Times New Roman" w:eastAsia="Times New Roman" w:hAnsi="Times New Roman"/>
          <w:sz w:val="18"/>
          <w:szCs w:val="18"/>
          <w:color w:val="auto"/>
        </w:rPr>
        <w:t>Since 2020, we have published our Environmental, Social, and Governance, or ESG, Report, with the intent of disclosing relevant ESG initiatives and metrics from across the company that are aligned not only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values and our culture, but also with the United Nations Sustainable Development Goals and the standards for the Biotechnology and Pharmaceuticals industry set by the Sustainability Accounting Standards Board, now part of the International Financial Reporting Standards (IFRS). Our 2026 ESG Report is available on our website, www.agios.com, under the “Corporate Governance” section. The contents of the ESG Report are not deemed to be part of this proxy statement or incorporated by reference herein.</w:t>
      </w:r>
    </w:p>
    <w:p>
      <w:pPr>
        <w:spacing w:after="0" w:line="207" w:lineRule="exact"/>
        <w:rPr>
          <w:sz w:val="20"/>
          <w:szCs w:val="20"/>
          <w:color w:val="auto"/>
        </w:rPr>
      </w:pPr>
    </w:p>
    <w:p>
      <w:pPr>
        <w:ind w:left="120" w:right="280" w:firstLine="771"/>
        <w:spacing w:after="0" w:line="282" w:lineRule="auto"/>
        <w:rPr>
          <w:sz w:val="20"/>
          <w:szCs w:val="20"/>
          <w:color w:val="auto"/>
        </w:rPr>
      </w:pPr>
      <w:r>
        <w:rPr>
          <w:rFonts w:ascii="Times New Roman" w:cs="Times New Roman" w:eastAsia="Times New Roman" w:hAnsi="Times New Roman"/>
          <w:sz w:val="18"/>
          <w:szCs w:val="18"/>
          <w:color w:val="auto"/>
        </w:rPr>
        <w:t>Our ESG program is centered around our commitments to the patients we serve, our employees, our communities and world, and business ethics and values.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Patients</w:t>
      </w:r>
    </w:p>
    <w:p>
      <w:pPr>
        <w:spacing w:after="0" w:line="2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Advancing Science</w:t>
      </w:r>
    </w:p>
    <w:p>
      <w:pPr>
        <w:spacing w:after="0" w:line="254" w:lineRule="exact"/>
        <w:rPr>
          <w:sz w:val="20"/>
          <w:szCs w:val="20"/>
          <w:color w:val="auto"/>
        </w:rPr>
      </w:pPr>
    </w:p>
    <w:p>
      <w:pPr>
        <w:ind w:left="120" w:right="160" w:firstLine="771"/>
        <w:spacing w:after="0" w:line="241" w:lineRule="auto"/>
        <w:rPr>
          <w:sz w:val="20"/>
          <w:szCs w:val="20"/>
          <w:color w:val="auto"/>
        </w:rPr>
      </w:pPr>
      <w:r>
        <w:rPr>
          <w:rFonts w:ascii="Times New Roman" w:cs="Times New Roman" w:eastAsia="Times New Roman" w:hAnsi="Times New Roman"/>
          <w:sz w:val="18"/>
          <w:szCs w:val="18"/>
          <w:color w:val="auto"/>
        </w:rPr>
        <w:t>We are focused on making a difference for patients with rare diseases by discovering, developing, and delivering innovative medicines. Our pioneering research in pyruvate kinase (PK) activation led to the development of mitapivat, the first and only approved therapy for PK deficiency and the first and only treatment approved for all subtypes of thalassemia, regardless of genotype or transfusion burden. Mitapivat is approved as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adults with PK deficiency in both the U.S. and Europe. The medicine is also approved for adults with thalassemia in Saudi Arabia and the United Arab Emirates under the brand name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in the U.S. under the brand name AQVESME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20" w:firstLine="771"/>
        <w:spacing w:after="0" w:line="282" w:lineRule="auto"/>
        <w:rPr>
          <w:sz w:val="20"/>
          <w:szCs w:val="20"/>
          <w:color w:val="auto"/>
        </w:rPr>
      </w:pPr>
      <w:r>
        <w:rPr>
          <w:rFonts w:ascii="Times New Roman" w:cs="Times New Roman" w:eastAsia="Times New Roman" w:hAnsi="Times New Roman"/>
          <w:sz w:val="18"/>
          <w:szCs w:val="18"/>
          <w:color w:val="auto"/>
        </w:rPr>
        <w:t>In addition, our robust pipeline spans late-, mid-, and early-stage programs targeting several rare diseases, including sickle cell disease (SCD), lower-risk myelodysplastic syndromes, phenylketonuria, and polycythemia vera.</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Improving Care for Underserved Communities</w:t>
      </w:r>
    </w:p>
    <w:p>
      <w:pPr>
        <w:spacing w:after="0" w:line="268" w:lineRule="exact"/>
        <w:rPr>
          <w:sz w:val="20"/>
          <w:szCs w:val="20"/>
          <w:color w:val="auto"/>
        </w:rPr>
      </w:pPr>
    </w:p>
    <w:p>
      <w:pPr>
        <w:ind w:left="120" w:right="360" w:firstLine="771"/>
        <w:spacing w:after="0" w:line="282" w:lineRule="auto"/>
        <w:rPr>
          <w:sz w:val="20"/>
          <w:szCs w:val="20"/>
          <w:color w:val="auto"/>
        </w:rPr>
      </w:pPr>
      <w:r>
        <w:rPr>
          <w:rFonts w:ascii="Times New Roman" w:cs="Times New Roman" w:eastAsia="Times New Roman" w:hAnsi="Times New Roman"/>
          <w:sz w:val="18"/>
          <w:szCs w:val="18"/>
          <w:color w:val="auto"/>
        </w:rPr>
        <w:t>In addition to developing and delivering medicines for these rare disease communities, we also support and partner with them to advance understanding, education, and care.</w:t>
      </w:r>
    </w:p>
    <w:p>
      <w:pPr>
        <w:spacing w:after="0" w:line="202" w:lineRule="exact"/>
        <w:rPr>
          <w:sz w:val="20"/>
          <w:szCs w:val="20"/>
          <w:color w:val="auto"/>
        </w:rPr>
      </w:pPr>
    </w:p>
    <w:p>
      <w:pPr>
        <w:ind w:left="120" w:right="520" w:firstLine="771"/>
        <w:spacing w:after="0" w:line="261" w:lineRule="auto"/>
        <w:rPr>
          <w:sz w:val="20"/>
          <w:szCs w:val="20"/>
          <w:color w:val="auto"/>
        </w:rPr>
      </w:pPr>
      <w:r>
        <w:rPr>
          <w:rFonts w:ascii="Times New Roman" w:cs="Times New Roman" w:eastAsia="Times New Roman" w:hAnsi="Times New Roman"/>
          <w:sz w:val="18"/>
          <w:szCs w:val="18"/>
          <w:color w:val="auto"/>
        </w:rPr>
        <w:t>In PK deficiency, we have made significant progress in understanding the burden of this disease by funding a natural history study and establishing the first global patient registry. Additionally, we have developed educational resources for physicians and patients and partnered with patient advocacy groups to create the first international PK deficiency Patient Advisory Council–a multidisciplinary team that includes patients, caregivers, advocates, and physicians.</w:t>
      </w:r>
    </w:p>
    <w:p>
      <w:pPr>
        <w:spacing w:after="0" w:line="207" w:lineRule="exact"/>
        <w:rPr>
          <w:sz w:val="20"/>
          <w:szCs w:val="20"/>
          <w:color w:val="auto"/>
        </w:rPr>
      </w:pPr>
    </w:p>
    <w:p>
      <w:pPr>
        <w:ind w:left="120" w:right="20" w:firstLine="771"/>
        <w:spacing w:after="0" w:line="254" w:lineRule="auto"/>
        <w:rPr>
          <w:sz w:val="20"/>
          <w:szCs w:val="20"/>
          <w:color w:val="auto"/>
        </w:rPr>
      </w:pPr>
      <w:r>
        <w:rPr>
          <w:rFonts w:ascii="Times New Roman" w:cs="Times New Roman" w:eastAsia="Times New Roman" w:hAnsi="Times New Roman"/>
          <w:sz w:val="18"/>
          <w:szCs w:val="18"/>
          <w:color w:val="auto"/>
        </w:rPr>
        <w:t>We have taken a similar approach to supporting the thalassemia community, fostering meaningful connections among physicians, patients, caregivers, and industry stakeholders. One key initiative is the formation of the Thalassemia Advocacy Advisory Council (AAC), which was established to provide strategic insights and ensure that Agios’ thalassemia efforts deliver real value to those impacted by the disease. In 2024, the AAC launched the Global Thalassemia Health Literacy Survey, an initiative that is now informing the development of peer-to-peer educational programs that address critical knowledge gaps, strengthen patient empowerment, and promote informed decision-making in care. Additionally, Agios established the Alpha Beta Revolution Patient Council, a community of thalassemia patients, caregivers, and healthcare providers that advises us on what it means to feel seen and supported when living with or caring for someone with thalassemia, including communication with care teams, access to resources, and opportunities to better connect with more patients.</w:t>
      </w:r>
    </w:p>
    <w:p>
      <w:pPr>
        <w:spacing w:after="0" w:line="232" w:lineRule="exact"/>
        <w:rPr>
          <w:sz w:val="20"/>
          <w:szCs w:val="20"/>
          <w:color w:val="auto"/>
        </w:rPr>
      </w:pPr>
    </w:p>
    <w:p>
      <w:pPr>
        <w:ind w:left="120" w:right="160" w:firstLine="771"/>
        <w:spacing w:after="0" w:line="266" w:lineRule="auto"/>
        <w:rPr>
          <w:sz w:val="20"/>
          <w:szCs w:val="20"/>
          <w:color w:val="auto"/>
        </w:rPr>
      </w:pPr>
      <w:r>
        <w:rPr>
          <w:rFonts w:ascii="Times New Roman" w:cs="Times New Roman" w:eastAsia="Times New Roman" w:hAnsi="Times New Roman"/>
          <w:sz w:val="18"/>
          <w:szCs w:val="18"/>
          <w:color w:val="auto"/>
        </w:rPr>
        <w:t>In SCD, we reported topline results from the RISE UP Phase 3 trial of mitapivat in patients aged 16 years or older at the end of 2025. Based on the clinically meaningful benefits observed in the RISE UP clinical program, we announced in March 2026 that we will pursue U.S. accelerated approval for mitapivat in SCD —</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U.S. Food and Drug Administration’s (FDA) pathway that expedites the availability of medicines that can fill a medical need for a serious condition. We collaborated closely with the SCD community to design the RISE UP clinical program and drive awareness of it. Building trust in clinical research is critical, particularly within the sickle cell community, where historical inequities and racial bias have contributed to skepticism toward the medical establishment. We prioritized patient voices from the outset of our clinical trial planning, co-designing key aspects of the clinical program and shaped communications strategies with the community to enhance trial awareness and recruitment — an invaluable approach we are now applying across our other clinical programs. Beyond this program, we partner closely with the SCD community on educational initiatives and attend and sponsor conferences supporting this community throughout the year.</w:t>
      </w:r>
    </w:p>
    <w:p>
      <w:pPr>
        <w:spacing w:after="0" w:line="216" w:lineRule="exact"/>
        <w:rPr>
          <w:sz w:val="20"/>
          <w:szCs w:val="20"/>
          <w:color w:val="auto"/>
        </w:rPr>
      </w:pPr>
    </w:p>
    <w:p>
      <w:pPr>
        <w:ind w:left="120" w:right="300" w:firstLine="771"/>
        <w:spacing w:after="0" w:line="258" w:lineRule="auto"/>
        <w:rPr>
          <w:sz w:val="20"/>
          <w:szCs w:val="20"/>
          <w:color w:val="auto"/>
        </w:rPr>
      </w:pPr>
      <w:r>
        <w:rPr>
          <w:rFonts w:ascii="Times New Roman" w:cs="Times New Roman" w:eastAsia="Times New Roman" w:hAnsi="Times New Roman"/>
          <w:sz w:val="18"/>
          <w:szCs w:val="18"/>
          <w:color w:val="auto"/>
        </w:rPr>
        <w:t>Recognizing the shared challenges and experiences of these patient communities, Agios launched the Red Cell Revolution — a multi-stakeholder advocacy advisory council focused on hemolytic anemias, including SCD, thalassemia, and PK deficiency. The council comprises 20 individuals, including patients, caregivers, healthcare professionals, and representatives from Agios. United by a common vision, the council aims to foster a global community where individuals living with these under-recognized, lifelong hemolytic anemias — and their allies — can amplify their voices and drive meaningful change.</w:t>
      </w:r>
    </w:p>
    <w:p>
      <w:pPr>
        <w:spacing w:after="0" w:line="224" w:lineRule="exact"/>
        <w:rPr>
          <w:sz w:val="20"/>
          <w:szCs w:val="20"/>
          <w:color w:val="auto"/>
        </w:rPr>
      </w:pPr>
    </w:p>
    <w:p>
      <w:pPr>
        <w:ind w:left="120" w:right="100" w:firstLine="771"/>
        <w:spacing w:after="0" w:line="282" w:lineRule="auto"/>
        <w:rPr>
          <w:sz w:val="20"/>
          <w:szCs w:val="20"/>
          <w:color w:val="auto"/>
        </w:rPr>
      </w:pPr>
      <w:r>
        <w:rPr>
          <w:rFonts w:ascii="Times New Roman" w:cs="Times New Roman" w:eastAsia="Times New Roman" w:hAnsi="Times New Roman"/>
          <w:sz w:val="18"/>
          <w:szCs w:val="18"/>
          <w:color w:val="auto"/>
        </w:rPr>
        <w:t>Beyond these initiatives and our clinical programs, we partner with clinicians and researchers to help close persistent knowledge gaps in rare diseases through clinical fellowship research grants, investigator-sponsored trials, and medical education grants.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Access to Medicines</w:t>
      </w:r>
    </w:p>
    <w:p>
      <w:pPr>
        <w:spacing w:after="0" w:line="254" w:lineRule="exact"/>
        <w:rPr>
          <w:sz w:val="20"/>
          <w:szCs w:val="20"/>
          <w:color w:val="auto"/>
        </w:rPr>
      </w:pPr>
    </w:p>
    <w:p>
      <w:pPr>
        <w:ind w:left="120" w:right="140" w:firstLine="771"/>
        <w:spacing w:after="0" w:line="230" w:lineRule="auto"/>
        <w:rPr>
          <w:sz w:val="20"/>
          <w:szCs w:val="20"/>
          <w:color w:val="auto"/>
        </w:rPr>
      </w:pPr>
      <w:r>
        <w:rPr>
          <w:rFonts w:ascii="Times New Roman" w:cs="Times New Roman" w:eastAsia="Times New Roman" w:hAnsi="Times New Roman"/>
          <w:sz w:val="18"/>
          <w:szCs w:val="18"/>
          <w:color w:val="auto"/>
        </w:rPr>
        <w:t>Prior to the U.S. commercial launch of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PK deficiency, we developed a philosophy and guiding principles to inform all of our pricing and access decisions. We collaborated closely with the patient, caregiver, and physician communities to develop myAgios Patient Support Services to help ensure that as many eligible patients as possible can access to our medicines and that out-of-pocket costs for individual patients are as reasonable as possible. Since FDA approval, 86% of eligible U.S. patients with commercial health insurance have utilized the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Copay Program, which lowers copay costs to $0 per prescription. Our Patient Assistance Program offers free prescriptions for eligible U.S. patients who are uninsured, underinsured or rendered uninsured to help them get access to our medicines. The programs established for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are also being extended to AQVESME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adults living with thalassemia.</w:t>
      </w:r>
    </w:p>
    <w:p>
      <w:pPr>
        <w:spacing w:after="0" w:line="116"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Additionally, our Global Managed Access Program offers a pathway for patients to obtain access to Agios’ medicines provided they meet the defined criteria and reside in a country where access is permissible under local laws and regulations. Healthcare providers may submit an inquiry on behalf of their patients to Agios for consideration.</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Patient Safety</w:t>
      </w:r>
    </w:p>
    <w:p>
      <w:pPr>
        <w:spacing w:after="0" w:line="268" w:lineRule="exact"/>
        <w:rPr>
          <w:sz w:val="20"/>
          <w:szCs w:val="20"/>
          <w:color w:val="auto"/>
        </w:rPr>
      </w:pPr>
    </w:p>
    <w:p>
      <w:pPr>
        <w:ind w:left="120" w:right="980" w:firstLine="771"/>
        <w:spacing w:after="0" w:line="282" w:lineRule="auto"/>
        <w:rPr>
          <w:sz w:val="20"/>
          <w:szCs w:val="20"/>
          <w:color w:val="auto"/>
        </w:rPr>
      </w:pPr>
      <w:r>
        <w:rPr>
          <w:rFonts w:ascii="Times New Roman" w:cs="Times New Roman" w:eastAsia="Times New Roman" w:hAnsi="Times New Roman"/>
          <w:sz w:val="18"/>
          <w:szCs w:val="18"/>
          <w:color w:val="auto"/>
        </w:rPr>
        <w:t>We place a high priority on patient safety through adhering to all relevant best practices and regulations in clinical trials, product manufacturing and supply chain management.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Our Employees</w:t>
      </w:r>
    </w:p>
    <w:p>
      <w:pPr>
        <w:spacing w:after="0" w:line="2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Our Culture</w:t>
      </w:r>
    </w:p>
    <w:p>
      <w:pPr>
        <w:spacing w:after="0" w:line="268" w:lineRule="exact"/>
        <w:rPr>
          <w:sz w:val="20"/>
          <w:szCs w:val="20"/>
          <w:color w:val="auto"/>
        </w:rPr>
      </w:pPr>
    </w:p>
    <w:p>
      <w:pPr>
        <w:ind w:left="120" w:right="140" w:firstLine="771"/>
        <w:spacing w:after="0" w:line="266" w:lineRule="auto"/>
        <w:rPr>
          <w:sz w:val="20"/>
          <w:szCs w:val="20"/>
          <w:color w:val="auto"/>
        </w:rPr>
      </w:pPr>
      <w:r>
        <w:rPr>
          <w:rFonts w:ascii="Times New Roman" w:cs="Times New Roman" w:eastAsia="Times New Roman" w:hAnsi="Times New Roman"/>
          <w:sz w:val="18"/>
          <w:szCs w:val="18"/>
          <w:color w:val="auto"/>
        </w:rPr>
        <w:t>Agios offers a supportive, engaging, and flexible environment that empowers people to bring their whole selves to work and motivates them to make a positive impact for patients with rare diseases. We intentionally cultivate a culture of flexibility, psychological safety, and deliberate development. We regularly ask our people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about their experiences at Agios and what we can do to improve our programs and environment through a full organizational health survey, conducted every 2 to 3 years, as well as more frequent, targeted pulse surveys. We eagerly listen to our team’s feedback, analyze what we hear, and use the findings to make informed decisions that continue to make Agios a great place to work.</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Deliberate Development</w:t>
      </w:r>
    </w:p>
    <w:p>
      <w:pPr>
        <w:spacing w:after="0" w:line="268" w:lineRule="exact"/>
        <w:rPr>
          <w:sz w:val="20"/>
          <w:szCs w:val="20"/>
          <w:color w:val="auto"/>
        </w:rPr>
      </w:pPr>
    </w:p>
    <w:p>
      <w:pPr>
        <w:ind w:left="120" w:right="100" w:firstLine="771"/>
        <w:spacing w:after="0" w:line="258" w:lineRule="auto"/>
        <w:rPr>
          <w:sz w:val="20"/>
          <w:szCs w:val="20"/>
          <w:color w:val="auto"/>
        </w:rPr>
      </w:pPr>
      <w:r>
        <w:rPr>
          <w:rFonts w:ascii="Times New Roman" w:cs="Times New Roman" w:eastAsia="Times New Roman" w:hAnsi="Times New Roman"/>
          <w:sz w:val="18"/>
          <w:szCs w:val="18"/>
          <w:color w:val="auto"/>
        </w:rPr>
        <w:t>We focus on retaining and hiring people who care deeply about our mission, about each other, and about the people who count on us. Our retention strategy is fueled by our focus on the deliberate development of all employees through programs such as tuition reimbursement, ‘lunch and learn’ sessions, our DevelOPPortunities Program — which offers temporary, part time assignments that provide employees with an opportunity to build new, differentiated skill sets while maintaining their current role — and encouraging internal promotions and cross-functional internal moves when aligned with employee career interest.</w:t>
      </w: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Flexibility</w:t>
      </w:r>
    </w:p>
    <w:p>
      <w:pPr>
        <w:spacing w:after="0" w:line="254" w:lineRule="exact"/>
        <w:rPr>
          <w:sz w:val="20"/>
          <w:szCs w:val="20"/>
          <w:color w:val="auto"/>
        </w:rPr>
      </w:pPr>
    </w:p>
    <w:p>
      <w:pPr>
        <w:ind w:left="120" w:right="180" w:firstLine="771"/>
        <w:spacing w:after="0" w:line="289" w:lineRule="auto"/>
        <w:rPr>
          <w:sz w:val="20"/>
          <w:szCs w:val="20"/>
          <w:color w:val="auto"/>
        </w:rPr>
      </w:pPr>
      <w:r>
        <w:rPr>
          <w:rFonts w:ascii="Times New Roman" w:cs="Times New Roman" w:eastAsia="Times New Roman" w:hAnsi="Times New Roman"/>
          <w:sz w:val="17"/>
          <w:szCs w:val="17"/>
          <w:color w:val="auto"/>
        </w:rPr>
        <w:t>Agios’ approach to workplace flexibility is foundational to our culture. We offer all location-agnostic team members (i.e., those who are not based in a lab, the field, or our headquarters office) the option to choose where they work: fully remote, fully in the office, or hybrid. By embracing flexibility, we foster a culture that promotes different work perspectives, work styles, health and wellness needs, care of families, and productivity.</w:t>
      </w:r>
    </w:p>
    <w:p>
      <w:pPr>
        <w:spacing w:after="0" w:line="198"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As with every significant people-related decision at Agios, our approach to workplace flexibility is data-driven and informed by employee input and feedback. Our surveys help us gauge the effectiveness of our approach and tailor it as needed. To date, the feedback has been overwhelmingly positive.</w:t>
      </w:r>
    </w:p>
    <w:p>
      <w:pPr>
        <w:spacing w:after="0" w:line="203"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Flexibility and remote work open the doors to hiring the best talent for each role, regardless of physical location. Individuals with different experiences, based in different locations, and with various backgrounds can join Agios and contribute to our mission, while striving for better integration between work and well-being. In 2025, approximately 85% of our new hires chose to work remotely.</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68" w:lineRule="exact"/>
        <w:rPr>
          <w:sz w:val="20"/>
          <w:szCs w:val="20"/>
          <w:color w:val="auto"/>
        </w:rPr>
      </w:pPr>
    </w:p>
    <w:p>
      <w:pPr>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We offer a competitive and balanced compensation and benefits package, including equity for employees with flexibility to select the percentage of restricted stock units versus stock options, discretionary paid time off policy, generous parental and family leave plans, and premium medical benefits. The benefits that have evolved as a direct result of employee feedback include: medical plan designs and carrier, discretionary time off policy, two week-long company shutdowns per year, subsidized back-up child care, a sabbatical program, and an inclusive family forming benefit.</w:t>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268"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Identifying and recruiting top talent is critical to our growing organization. To do so, we leverage internal networks and a variety of external resources such as professional organizations, academic institutions, career sites, job fairs, and industry conferences. We value differences in the talent we recruit to ensure continued growth in new ways of thinking and innovation across teams.</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Valuing Differences</w:t>
      </w:r>
    </w:p>
    <w:p>
      <w:pPr>
        <w:spacing w:after="0" w:line="254" w:lineRule="exact"/>
        <w:rPr>
          <w:sz w:val="20"/>
          <w:szCs w:val="20"/>
          <w:color w:val="auto"/>
        </w:rPr>
      </w:pPr>
    </w:p>
    <w:p>
      <w:pPr>
        <w:ind w:left="120" w:right="360" w:firstLine="771"/>
        <w:spacing w:after="0" w:line="282" w:lineRule="auto"/>
        <w:rPr>
          <w:sz w:val="20"/>
          <w:szCs w:val="20"/>
          <w:color w:val="auto"/>
        </w:rPr>
      </w:pPr>
      <w:r>
        <w:rPr>
          <w:rFonts w:ascii="Times New Roman" w:cs="Times New Roman" w:eastAsia="Times New Roman" w:hAnsi="Times New Roman"/>
          <w:sz w:val="18"/>
          <w:szCs w:val="18"/>
          <w:color w:val="auto"/>
        </w:rPr>
        <w:t>As we continue our work in rare diseases that affect a broad range of individuals, we believe a workforce with a variety of representative, cognitive, and experiential differences enables us to better understand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develop treatments for these diverse patient populations. A commitment to valuing differences is an ongoing journey; we recognize there is always more to do. We strive to ensure our efforts are having a real impact on our teams, our communities, and the patients we serve.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Our Communities and the World</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are committed to supporting and connecting with our communities and to doing our part to support a cleaner, healthier planet.</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Community Relations</w:t>
      </w:r>
    </w:p>
    <w:p>
      <w:pPr>
        <w:spacing w:after="0" w:line="254"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We have organized our community relations initiatives around three pillars: (1) complementing our pursuit of innovative medicines by meeting non-therapeutic needs for patient communities, (2) opening doors to STEM education and careers, and (3) being a good neighbor and helping to meet the fundamental needs of those around us. We maintain a corporate giving program that identifies initiatives to support our community and creates opportunities for employee involvement in causes that benefit our community.</w:t>
      </w: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Environmental Initiatives</w:t>
      </w:r>
    </w:p>
    <w:p>
      <w:pPr>
        <w:spacing w:after="0" w:line="254" w:lineRule="exact"/>
        <w:rPr>
          <w:sz w:val="20"/>
          <w:szCs w:val="20"/>
          <w:color w:val="auto"/>
        </w:rPr>
      </w:pPr>
    </w:p>
    <w:p>
      <w:pPr>
        <w:jc w:val="both"/>
        <w:ind w:left="120" w:right="340" w:firstLine="771"/>
        <w:spacing w:after="0" w:line="261" w:lineRule="auto"/>
        <w:rPr>
          <w:sz w:val="20"/>
          <w:szCs w:val="20"/>
          <w:color w:val="auto"/>
        </w:rPr>
      </w:pPr>
      <w:r>
        <w:rPr>
          <w:rFonts w:ascii="Times New Roman" w:cs="Times New Roman" w:eastAsia="Times New Roman" w:hAnsi="Times New Roman"/>
          <w:sz w:val="18"/>
          <w:szCs w:val="18"/>
          <w:color w:val="auto"/>
        </w:rPr>
        <w:t>Although all of our buildings are leased to us, we remain committed to advancing and promoting sustainable practices within our current spaces, while ensuring that future spaces are designed with sustainability in mind. To date, we have implemented a number of initiatives, including product take-back programs, cold storage upgrades, equipment donation efforts, and waste minimization strategies. In addition, we have established practices aimed at reducing hazardous waste, minimizing solid waste production, and conserving water.</w:t>
      </w:r>
    </w:p>
    <w:p>
      <w:pPr>
        <w:spacing w:after="0" w:line="180" w:lineRule="exact"/>
        <w:rPr>
          <w:sz w:val="20"/>
          <w:szCs w:val="20"/>
          <w:color w:val="auto"/>
        </w:rPr>
      </w:pPr>
    </w:p>
    <w:p>
      <w:pPr>
        <w:ind w:left="120" w:right="160" w:firstLine="771"/>
        <w:spacing w:after="0" w:line="261" w:lineRule="auto"/>
        <w:rPr>
          <w:sz w:val="20"/>
          <w:szCs w:val="20"/>
          <w:color w:val="auto"/>
        </w:rPr>
      </w:pPr>
      <w:r>
        <w:rPr>
          <w:rFonts w:ascii="Times New Roman" w:cs="Times New Roman" w:eastAsia="Times New Roman" w:hAnsi="Times New Roman"/>
          <w:sz w:val="18"/>
          <w:szCs w:val="18"/>
          <w:color w:val="auto"/>
        </w:rPr>
        <w:t>Agios launched numerous environmental sustainability initiatives in 2025, most notably including a safety glass recycling program, prescription eyeglass and safety glass program, introduction of fume hood sash height awareness signage, My Green Lab topic of the month education series, and creation of a Green Chemistry resources hub. Agios also expanded existing sustainability initiatives, including updated waste auditing of hazardous and non-regulated waste streams in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Ethics and Values</w:t>
      </w:r>
    </w:p>
    <w:p>
      <w:pPr>
        <w:spacing w:after="0" w:line="121" w:lineRule="exact"/>
        <w:rPr>
          <w:sz w:val="20"/>
          <w:szCs w:val="20"/>
          <w:color w:val="auto"/>
        </w:rPr>
      </w:pPr>
    </w:p>
    <w:p>
      <w:pPr>
        <w:ind w:left="120" w:right="160" w:firstLine="771"/>
        <w:spacing w:after="0" w:line="256" w:lineRule="auto"/>
        <w:rPr>
          <w:sz w:val="20"/>
          <w:szCs w:val="20"/>
          <w:color w:val="auto"/>
        </w:rPr>
      </w:pPr>
      <w:r>
        <w:rPr>
          <w:rFonts w:ascii="Times New Roman" w:cs="Times New Roman" w:eastAsia="Times New Roman" w:hAnsi="Times New Roman"/>
          <w:sz w:val="18"/>
          <w:szCs w:val="18"/>
          <w:color w:val="auto"/>
        </w:rPr>
        <w:t>At Agios, we are committed to conducting business ethically, responsibly, and transparently. We hold ourselves to the highest standards and have built strong governance practices to ensure accountability for our actions. This includes a Code of Business Conduct and Ethics, which applies to all of our officers, directors, and employees; corporate governance guidelines adopted by our board of directors; and charters for our audit committee, compensation &amp; people committee, nominating and corporate governance committee, and science and technology committee. In addition, we have robust policies in place to ensure compliant interactions with healthcare providers, protection of personal and patient data, and strong cybersecurity practices, among others.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Determination of Independence</w:t>
      </w:r>
    </w:p>
    <w:p>
      <w:pPr>
        <w:spacing w:after="0" w:line="121" w:lineRule="exact"/>
        <w:rPr>
          <w:sz w:val="20"/>
          <w:szCs w:val="20"/>
          <w:color w:val="auto"/>
        </w:rPr>
      </w:pPr>
    </w:p>
    <w:p>
      <w:pPr>
        <w:ind w:left="120" w:right="80" w:firstLine="771"/>
        <w:spacing w:after="0" w:line="257" w:lineRule="auto"/>
        <w:rPr>
          <w:sz w:val="20"/>
          <w:szCs w:val="20"/>
          <w:color w:val="auto"/>
        </w:rPr>
      </w:pPr>
      <w:r>
        <w:rPr>
          <w:rFonts w:ascii="Times New Roman" w:cs="Times New Roman" w:eastAsia="Times New Roman" w:hAnsi="Times New Roman"/>
          <w:sz w:val="18"/>
          <w:szCs w:val="18"/>
          <w:color w:val="auto"/>
        </w:rPr>
        <w:t>Rule 5605 of the Nasdaq Listing Rules requires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that audit committee members also satisfy independence criteria set forth in</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Rule 10A-3 under the Securities Exchange Act of 1934, as amended, or the Exchange Act and that compensation committee members also satisfy the independence criteria set forth in Rule 10C-1 under the Exchange Act.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Under Rule 5605(a)(2) of the Nasdaq Listing Rules, a director will only qualify as an “independent director” if, in the opinion of a company’s board of directors,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214" w:lineRule="exact"/>
        <w:rPr>
          <w:sz w:val="20"/>
          <w:szCs w:val="20"/>
          <w:color w:val="auto"/>
        </w:rPr>
      </w:pPr>
    </w:p>
    <w:p>
      <w:pPr>
        <w:ind w:left="120" w:right="180" w:firstLine="771"/>
        <w:spacing w:after="0" w:line="256" w:lineRule="auto"/>
        <w:rPr>
          <w:sz w:val="20"/>
          <w:szCs w:val="20"/>
          <w:color w:val="auto"/>
        </w:rPr>
      </w:pPr>
      <w:r>
        <w:rPr>
          <w:rFonts w:ascii="Times New Roman" w:cs="Times New Roman" w:eastAsia="Times New Roman" w:hAnsi="Times New Roman"/>
          <w:sz w:val="18"/>
          <w:szCs w:val="18"/>
          <w:color w:val="auto"/>
        </w:rPr>
        <w:t>In addition, in affirmatively determining the independence of any director who will serve on a company’s compensation committee, Rule 10C-1 under the Exchange Act requires that a company’s board of directors consider all factors specifically relevant to determining whether a director has a relationship to such company which is material to that director’s ability to be independent from management in connection with the duties of a compensation committee member, including, but not limited to: (i) the source of compensation of the director, including any consulting advisory or other compensatory fee paid by such company to the director; and (ii) whether the director is affiliated with the company or any of its subsidiaries or affiliates.</w:t>
      </w:r>
    </w:p>
    <w:p>
      <w:pPr>
        <w:spacing w:after="0" w:line="228" w:lineRule="exact"/>
        <w:rPr>
          <w:sz w:val="20"/>
          <w:szCs w:val="20"/>
          <w:color w:val="auto"/>
        </w:rPr>
      </w:pPr>
    </w:p>
    <w:p>
      <w:pPr>
        <w:ind w:left="120" w:right="220" w:firstLine="771"/>
        <w:spacing w:after="0" w:line="257" w:lineRule="auto"/>
        <w:rPr>
          <w:sz w:val="20"/>
          <w:szCs w:val="20"/>
          <w:color w:val="auto"/>
        </w:rPr>
      </w:pPr>
      <w:r>
        <w:rPr>
          <w:rFonts w:ascii="Times New Roman" w:cs="Times New Roman" w:eastAsia="Times New Roman" w:hAnsi="Times New Roman"/>
          <w:sz w:val="18"/>
          <w:szCs w:val="18"/>
          <w:color w:val="auto"/>
        </w:rPr>
        <w:t>In March 2026, our board of directors reviewed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is an “independent director” as defined under</w:t>
      </w:r>
    </w:p>
    <w:p>
      <w:pPr>
        <w:spacing w:after="0" w:line="1" w:lineRule="exact"/>
        <w:rPr>
          <w:sz w:val="20"/>
          <w:szCs w:val="20"/>
          <w:color w:val="auto"/>
        </w:rPr>
      </w:pPr>
    </w:p>
    <w:p>
      <w:pPr>
        <w:ind w:left="120" w:right="120"/>
        <w:spacing w:after="0" w:line="251" w:lineRule="auto"/>
        <w:rPr>
          <w:sz w:val="20"/>
          <w:szCs w:val="20"/>
          <w:color w:val="auto"/>
        </w:rPr>
      </w:pPr>
      <w:r>
        <w:rPr>
          <w:rFonts w:ascii="Times New Roman" w:cs="Times New Roman" w:eastAsia="Times New Roman" w:hAnsi="Times New Roman"/>
          <w:sz w:val="18"/>
          <w:szCs w:val="18"/>
          <w:color w:val="auto"/>
        </w:rPr>
        <w:t>Rule 5605(a)(2) of the Nasdaq Listing Rules, with the exception of Mr. Goff, our chief executive officer. Our board of directors had also previously determined in March 2024 that David P. Schenkein, a former director who resigned from our board of directors in February 2025, was an “independent director” as defined under Rule 5605(a)(2). In addition, our board of directors determined that Dr. Ballal, Mr. Capello and Dr. Ho, who currently comprise our audit committee, Ms. Foster, Ms. Owen Adams and Ms. Smith, who currently comprise our compensation &amp; people committee, and Ms. Foster, Dr. Ho and Dr. Scadden, who currently comprise our nominating and corporate governance committee, satisfy the independence standards for such committees established by the SEC and the Nasdaq Listing Rules, as applicable. In making such determinations, our board of directors considered the relationships that each such non-employee director has with our company, including any relevant transactions described below in “Certain Relationships and Related Party Transactions” and the beneficial ownership of our capital stock by each non-employee director, as well as all other facts and circumstances our board of directors deemed relevant in determining independence. Mr. Goff is not independent because he is our chief executive officer.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our board of directors’ leadership structure, including whether the offices of chief executive officer and chair of the board of directors should be separate and why the board of directors’ leadership structure is appropriate given the specific characteristics or circumstances of our company. These guidelines provide the board of directors with flexibility to determine whether the two roles should be combined or separated based upon our needs and the board of directors’ assessment of its leadership from time to time. We currently separate the roles of chief executive officer and chair of the board of directors. Separating the duties of the chair of the board from the duties of the chief executive officer allows our chief executive officer to focus on our day-to-day business, while allowing the chair of the board to lead the board of directors in its fundamental role of providing advice to and independent oversight of management. Specifically, the chair of our board of directors presides over meetings of the board of directors, facilitates communications between management and the board of directors, provides input on the design of the board of directors and assists with other corporate governance matters. We also have a lead director, Ms. Foster, whose duties include, as needed, the following:</w:t>
      </w:r>
    </w:p>
    <w:p>
      <w:pPr>
        <w:spacing w:after="0" w:line="275" w:lineRule="exact"/>
        <w:rPr>
          <w:sz w:val="20"/>
          <w:szCs w:val="20"/>
          <w:color w:val="auto"/>
        </w:rPr>
      </w:pPr>
    </w:p>
    <w:p>
      <w:pPr>
        <w:ind w:left="5540" w:right="4420" w:hanging="4331"/>
        <w:spacing w:after="0" w:line="454" w:lineRule="auto"/>
        <w:tabs>
          <w:tab w:leader="none" w:pos="15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Chairing any meeting of the independent directors in executive session; 25</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66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any director who is not adequately performing his or her duties as a member of our board of directors or any committee; however, each director is free to communicate directly with the chair of the board of directors and with the chief executive officer;</w:t>
      </w:r>
    </w:p>
    <w:p>
      <w:pPr>
        <w:spacing w:after="0" w:line="25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communications between other members of our board of directors, our chair and our chief executive officer;</w:t>
      </w:r>
    </w:p>
    <w:p>
      <w:pPr>
        <w:spacing w:after="0" w:line="306"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our chair and our chief executive officer in the preparation of the agenda for each board meeting and in determining the need for special meetings of our board of directors;</w:t>
      </w:r>
    </w:p>
    <w:p>
      <w:pPr>
        <w:spacing w:after="0" w:line="242" w:lineRule="exact"/>
        <w:rPr>
          <w:rFonts w:ascii="Times New Roman" w:cs="Times New Roman" w:eastAsia="Times New Roman" w:hAnsi="Times New Roman"/>
          <w:sz w:val="18"/>
          <w:szCs w:val="18"/>
          <w:color w:val="auto"/>
        </w:rPr>
      </w:pPr>
    </w:p>
    <w:p>
      <w:pPr>
        <w:jc w:val="both"/>
        <w:ind w:left="1540" w:right="10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with the assistance of our Corporate Secretary, or his designee, communications from stockholders and other interested parties and providing copies or summaries to the other directors as she considers appropriate (see “Communications with our Board of Directors” below); and</w:t>
      </w:r>
    </w:p>
    <w:p>
      <w:pPr>
        <w:spacing w:after="0" w:line="25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our chair and our chief executive officer on matters relating to corporate governance and board performance.</w:t>
      </w:r>
    </w:p>
    <w:p>
      <w:pPr>
        <w:spacing w:after="0" w:line="252" w:lineRule="exact"/>
        <w:rPr>
          <w:sz w:val="20"/>
          <w:szCs w:val="20"/>
          <w:color w:val="auto"/>
        </w:rPr>
      </w:pPr>
    </w:p>
    <w:p>
      <w:pPr>
        <w:ind w:left="120" w:right="80" w:firstLine="771"/>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evaluates our board leadership structure from time to time and may recommend further alterations of this structure in the future.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will consider, among other things, the following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w:t>
      </w:r>
    </w:p>
    <w:p>
      <w:pPr>
        <w:spacing w:after="0" w:line="288" w:lineRule="exact"/>
        <w:rPr>
          <w:sz w:val="20"/>
          <w:szCs w:val="20"/>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for personal and professional integrity, honesty and adherence to high ethical standards;</w:t>
      </w:r>
    </w:p>
    <w:p>
      <w:pPr>
        <w:spacing w:after="0" w:line="306" w:lineRule="exact"/>
        <w:rPr>
          <w:rFonts w:ascii="Times New Roman" w:cs="Times New Roman" w:eastAsia="Times New Roman" w:hAnsi="Times New Roman"/>
          <w:sz w:val="18"/>
          <w:szCs w:val="18"/>
          <w:color w:val="auto"/>
        </w:rPr>
      </w:pPr>
    </w:p>
    <w:p>
      <w:pPr>
        <w:ind w:left="1540" w:hanging="331"/>
        <w:spacing w:after="0" w:line="312" w:lineRule="auto"/>
        <w:tabs>
          <w:tab w:leader="none" w:pos="1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demonstrated business acumen, experience and ability to exercise sound judgments in matters that relate to the current and long-term objectives of our company and should be willing and able to contribute positively to the decision-making process of our company;</w:t>
      </w:r>
    </w:p>
    <w:p>
      <w:pPr>
        <w:spacing w:after="0" w:line="220"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finance experience;</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understand our company and its industry;</w:t>
      </w:r>
    </w:p>
    <w:p>
      <w:pPr>
        <w:spacing w:after="0" w:line="306" w:lineRule="exact"/>
        <w:rPr>
          <w:rFonts w:ascii="Times New Roman" w:cs="Times New Roman" w:eastAsia="Times New Roman" w:hAnsi="Times New Roman"/>
          <w:sz w:val="18"/>
          <w:szCs w:val="18"/>
          <w:color w:val="auto"/>
        </w:rPr>
      </w:pPr>
    </w:p>
    <w:p>
      <w:pPr>
        <w:ind w:left="1540" w:right="300" w:hanging="331"/>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ability to understand the sometimes conflicting interests of the various constituencies of our company, which include stockholders, employees, customers, governmental units, creditors and the general public, and to act in the interests of all stockholders;</w:t>
      </w:r>
    </w:p>
    <w:p>
      <w:pPr>
        <w:spacing w:after="0" w:line="256"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and perspective, including specialized expertise and experience in substantive matters pertaining to our business relative to other board members; and</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 including the ability to make independent analytical inquiries.</w:t>
      </w:r>
    </w:p>
    <w:p>
      <w:pPr>
        <w:spacing w:after="0" w:line="266" w:lineRule="exact"/>
        <w:rPr>
          <w:sz w:val="20"/>
          <w:szCs w:val="20"/>
          <w:color w:val="auto"/>
        </w:rPr>
      </w:pPr>
    </w:p>
    <w:p>
      <w:pPr>
        <w:ind w:left="120" w:right="580" w:firstLine="771"/>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of directors that brings to the company a variety of perspectives and skills derived from high quality business and professional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experience. Moreover, the nominating and corporate governance committee believes that the board of directors, considered as a group, should provide a significant mix of experience, knowledge and abilities that will allow the board of directors to fulfill its responsibilities. The nominating and corporate governance committee has not adopted a formal policy with respect to a fixed set of specific minimum qualifications for its candidates for membership on the board of directors. While neither the nominating and corporate governance committee nor the board of directors consider race, ethnicity, gender, or any other basis proscribed by law in selecting nominees, the nominating and corporate governance strives to include individuals with different backgrounds in the pool of candidates from which nominees are recommended.</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directors’ performance and qualification criteria are reviewed periodically by the nominating and corporate governance committee.</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Identification and Evaluation of Nominees for Directors</w:t>
      </w:r>
    </w:p>
    <w:p>
      <w:pPr>
        <w:spacing w:after="0" w:line="268"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for director by first evaluating the current members of our board of directors willing to continue in service. Current members with qualifications and skills that are consistent with the nominating and corporate governance committee’s criteria for board of director service and who are willing to continue in service are considered for re-nomination, balancing the value of continuity of service by existing members of our board of directors with that of obtaining a new perspective or expertise.</w:t>
      </w:r>
    </w:p>
    <w:p>
      <w:pPr>
        <w:spacing w:after="0" w:line="207"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If any member of our board of directors does not wish to continue in service or if our board of directors decides not to re-nominate a member for re-election, the nominating and corporate governance committee identifies a new nominee that meets the criteria above. The committee generally inquires of our board of directors and members of management for their recommendations. The committee may also review the composition and qualification of the boards of directors of our competitors, and may seek input from industry experts or analysts. The nominating and corporate governance committee reviews the qualifications, experience and background of candidates. Final candidates, if other than our current directors, would be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of directors as a whole, with the objective of assembling a group that can best contribute to the success of our company and represent stockholder interests through the exercise of sound judgment. After review and deliberation of all feedback and data, the nominating and corporate governance committee makes its recommendation to our board of directors. To date, the nominating and corporate governance committee has engaged third-party search firms to identify board of director candidates. The nominating and corporate governance committee may in the future choose to do so in those situations where particular qualifications are required or where existing contacts are not sufficient to identify an appropriate candidate.</w:t>
      </w:r>
    </w:p>
    <w:p>
      <w:pPr>
        <w:spacing w:after="0" w:line="230" w:lineRule="exact"/>
        <w:rPr>
          <w:sz w:val="20"/>
          <w:szCs w:val="20"/>
          <w:color w:val="auto"/>
        </w:rPr>
      </w:pPr>
    </w:p>
    <w:p>
      <w:pPr>
        <w:ind w:left="120" w:right="80" w:firstLine="771"/>
        <w:spacing w:after="0" w:line="273" w:lineRule="auto"/>
        <w:rPr>
          <w:sz w:val="20"/>
          <w:szCs w:val="20"/>
          <w:color w:val="auto"/>
        </w:rPr>
      </w:pPr>
      <w:r>
        <w:rPr>
          <w:rFonts w:ascii="Times New Roman" w:cs="Times New Roman" w:eastAsia="Times New Roman" w:hAnsi="Times New Roman"/>
          <w:sz w:val="17"/>
          <w:szCs w:val="17"/>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Agios Pharmaceuticals, Inc., 88 Sidney Street, Cambridge, Massachusetts 02139. Assuming that appropriate biographical and background material has been provided on or before the date set forth in the section below entitled “Stockholder Proposals,” the committee will evaluate stockholder-recommended candidates by following substantially the same process, and applying substantially the same criteria, as it follows for candidates submitted by others, as described above.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256" w:lineRule="exact"/>
        <w:rPr>
          <w:sz w:val="20"/>
          <w:szCs w:val="20"/>
          <w:color w:val="auto"/>
        </w:rPr>
      </w:pPr>
    </w:p>
    <w:p>
      <w:pPr>
        <w:ind w:left="120" w:right="140" w:firstLine="771"/>
        <w:spacing w:after="0" w:line="261"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will respond if and as appropriate. Our lead director or the chair of our nominating and corporate governance committee, with the assistance of our Corporate Secretary or his or her designee, is primarily responsible for monitoring communications from stockholders and for providing copies or summaries to the other directors as he or she considers appropriate.</w:t>
      </w:r>
    </w:p>
    <w:p>
      <w:pPr>
        <w:spacing w:after="0" w:line="220" w:lineRule="exact"/>
        <w:rPr>
          <w:sz w:val="20"/>
          <w:szCs w:val="20"/>
          <w:color w:val="auto"/>
        </w:rPr>
      </w:pPr>
    </w:p>
    <w:p>
      <w:pPr>
        <w:ind w:left="120" w:right="220" w:firstLine="771"/>
        <w:spacing w:after="0" w:line="261"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 of the board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220" w:lineRule="exact"/>
        <w:rPr>
          <w:sz w:val="20"/>
          <w:szCs w:val="20"/>
          <w:color w:val="auto"/>
        </w:rPr>
      </w:pPr>
    </w:p>
    <w:p>
      <w:pPr>
        <w:ind w:left="120" w:right="640" w:firstLine="771"/>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of directors should address such communications to Agios Pharmaceuticals, Inc., c/o Corporate Secretary, 88 Sidney Street, Cambridge, Massachusetts 02139.</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70" w:lineRule="exact"/>
        <w:rPr>
          <w:sz w:val="20"/>
          <w:szCs w:val="20"/>
          <w:color w:val="auto"/>
        </w:rPr>
      </w:pPr>
    </w:p>
    <w:p>
      <w:pPr>
        <w:ind w:left="120" w:right="180" w:firstLine="771"/>
        <w:spacing w:after="0" w:line="289" w:lineRule="auto"/>
        <w:rPr>
          <w:sz w:val="20"/>
          <w:szCs w:val="20"/>
          <w:color w:val="auto"/>
        </w:rPr>
      </w:pPr>
      <w:r>
        <w:rPr>
          <w:rFonts w:ascii="Times New Roman" w:cs="Times New Roman" w:eastAsia="Times New Roman" w:hAnsi="Times New Roman"/>
          <w:sz w:val="17"/>
          <w:szCs w:val="17"/>
          <w:color w:val="auto"/>
        </w:rPr>
        <w:t>Our board of directors met 11 times during fiscal year 2025, including telephonic and virtual meetings. During the year, each of our then-serving directors attended 75% or more of the aggregate number of meetings of the board of directors and the committees on which they served, other than Ms. Owen Adams, who attended 61% of the aggregate number of meetings of the board of directors and the committees on which she served.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270" w:lineRule="exact"/>
        <w:rPr>
          <w:sz w:val="20"/>
          <w:szCs w:val="20"/>
          <w:color w:val="auto"/>
        </w:rPr>
      </w:pPr>
    </w:p>
    <w:p>
      <w:pPr>
        <w:ind w:left="120" w:right="180" w:firstLine="771"/>
        <w:spacing w:after="0" w:line="282" w:lineRule="auto"/>
        <w:rPr>
          <w:sz w:val="20"/>
          <w:szCs w:val="20"/>
          <w:color w:val="auto"/>
        </w:rPr>
      </w:pPr>
      <w:r>
        <w:rPr>
          <w:rFonts w:ascii="Times New Roman" w:cs="Times New Roman" w:eastAsia="Times New Roman" w:hAnsi="Times New Roman"/>
          <w:sz w:val="18"/>
          <w:szCs w:val="18"/>
          <w:color w:val="auto"/>
        </w:rPr>
        <w:t>Although our company does not have a formal policy regarding attendance by members of our board of directors at our annual meeting, we encourage all of our directors to attend. All of our then-serving directors attended our 2025 annual meeting of stockholders.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6" w:lineRule="exact"/>
        <w:rPr>
          <w:sz w:val="20"/>
          <w:szCs w:val="20"/>
          <w:color w:val="auto"/>
        </w:rPr>
      </w:pPr>
    </w:p>
    <w:p>
      <w:pPr>
        <w:jc w:val="both"/>
        <w:ind w:left="120" w:right="240" w:firstLine="771"/>
        <w:spacing w:after="0" w:line="266" w:lineRule="auto"/>
        <w:rPr>
          <w:sz w:val="20"/>
          <w:szCs w:val="20"/>
          <w:color w:val="auto"/>
        </w:rPr>
      </w:pPr>
      <w:r>
        <w:rPr>
          <w:rFonts w:ascii="Times New Roman" w:cs="Times New Roman" w:eastAsia="Times New Roman" w:hAnsi="Times New Roman"/>
          <w:sz w:val="18"/>
          <w:szCs w:val="18"/>
          <w:color w:val="auto"/>
        </w:rPr>
        <w:t xml:space="preserve">We have four standing committees: the audit committee, the compensation &amp; people committee, the nominating and corporate governance committee and the science and technology committee. Each of these committees has a written charter approved by our board of directors. A copy of each charter can be found on the Corporate Governance page of the Investors section of our website, </w:t>
      </w:r>
      <w:r>
        <w:rPr>
          <w:rFonts w:ascii="Times New Roman" w:cs="Times New Roman" w:eastAsia="Times New Roman" w:hAnsi="Times New Roman"/>
          <w:sz w:val="18"/>
          <w:szCs w:val="18"/>
          <w:i w:val="1"/>
          <w:iCs w:val="1"/>
          <w:color w:val="auto"/>
        </w:rPr>
        <w:t>www.agios.com</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68"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are Dr. Ballal, Mr. Capello, and Dr. Ho. Mr. Capello is the chair of the audit committee. Our board of directors has determined that each of Dr. Ballal, Mr. Capello and Ms. Ho qualify as audit committee financial experts within the meaning of SEC regulations and the Nasdaq Listing Rules. In making this determination, our board of directors has considered the formal education and nature and scope of his or her previous experience, coupled with past and present service on various audit committees. Our audit committee assists our board of directors in its oversight of our accounting and financial reporting process and the audits of our financial statements. The audit committee met 13 times during fiscal year 2025, including telephonic and virtual meetings. The audit committee’s responsibilities include:</w:t>
      </w:r>
    </w:p>
    <w:p>
      <w:pPr>
        <w:spacing w:after="0" w:line="268" w:lineRule="exact"/>
        <w:rPr>
          <w:sz w:val="20"/>
          <w:szCs w:val="20"/>
          <w:color w:val="auto"/>
        </w:rPr>
      </w:pPr>
    </w:p>
    <w:p>
      <w:pPr>
        <w:jc w:val="center"/>
        <w:ind w:left="5540" w:right="1140" w:hanging="4331"/>
        <w:spacing w:after="0" w:line="454" w:lineRule="auto"/>
        <w:tabs>
          <w:tab w:leader="none" w:pos="153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 28</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right="140" w:hanging="331"/>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242"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whether the audited financial statements should be included in our annual report;</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our internal control over financial reporting, disclosure controls and procedures and code of business conduct and ethics;</w:t>
      </w:r>
    </w:p>
    <w:p>
      <w:pPr>
        <w:spacing w:after="0" w:line="317"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our major financial risk exposures and risks relating to data privacy and cybersecurity, and our risk management policies;</w:t>
      </w:r>
    </w:p>
    <w:p>
      <w:pPr>
        <w:spacing w:after="0" w:line="317" w:lineRule="exact"/>
        <w:rPr>
          <w:rFonts w:ascii="Times New Roman" w:cs="Times New Roman" w:eastAsia="Times New Roman" w:hAnsi="Times New Roman"/>
          <w:sz w:val="17"/>
          <w:szCs w:val="17"/>
          <w:color w:val="auto"/>
        </w:rPr>
      </w:pPr>
    </w:p>
    <w:p>
      <w:pPr>
        <w:ind w:left="1540" w:right="20" w:hanging="331"/>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registered public accounting firm and procedures for the receipt, retention and treatment of accounting related complaints and concerns;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registered public accounting firm and management;</w:t>
      </w:r>
    </w:p>
    <w:p>
      <w:pPr>
        <w:spacing w:after="0" w:line="306"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results of our efforts to monitor compliance with our programs and policies designed to promote adherence to applicable laws and regulations;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investment portfolio and investment policy on a periodic basis;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which is included on page 37 of this Proxy Statement.</w:t>
      </w:r>
    </w:p>
    <w:p>
      <w:pPr>
        <w:spacing w:after="0" w:line="2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Compensation &amp; People Committee</w:t>
      </w:r>
    </w:p>
    <w:p>
      <w:pPr>
        <w:spacing w:after="0" w:line="268" w:lineRule="exact"/>
        <w:rPr>
          <w:sz w:val="20"/>
          <w:szCs w:val="20"/>
          <w:color w:val="auto"/>
        </w:rPr>
      </w:pPr>
    </w:p>
    <w:p>
      <w:pPr>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The members of our compensation &amp; people committee are Ms. Foster, Ms. Owen Adams and Ms. Smith. Ms. Smith is the chair of the compensation &amp; people committee. Our compensation &amp; people committee assists our board of directors in the discharge of its responsibilities relating to the compensation of our executive officers and directors. The compensation &amp; people committee met seven times during fiscal year 2025, including telephonic and virtual meetings. The compensation &amp; people committee’s responsibilities include:</w:t>
      </w:r>
    </w:p>
    <w:p>
      <w:pPr>
        <w:spacing w:after="0" w:line="261" w:lineRule="exact"/>
        <w:rPr>
          <w:sz w:val="20"/>
          <w:szCs w:val="20"/>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chief executive officer compensation;</w:t>
      </w:r>
    </w:p>
    <w:p>
      <w:pPr>
        <w:spacing w:after="0" w:line="306"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with respect to the compensation of our chief executive officer, and reviewing and approving the compensation of our other executive officers;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82"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306" w:lineRule="exact"/>
        <w:rPr>
          <w:rFonts w:ascii="Times New Roman" w:cs="Times New Roman" w:eastAsia="Times New Roman" w:hAnsi="Times New Roman"/>
          <w:sz w:val="18"/>
          <w:szCs w:val="18"/>
          <w:color w:val="auto"/>
        </w:rPr>
      </w:pPr>
    </w:p>
    <w:p>
      <w:pPr>
        <w:ind w:left="1540" w:right="80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practices regarding the timing of equity grants in relation to the release of material nonpublic information;</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306"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which is included on page 40 of this Proxy Statement;</w:t>
      </w:r>
    </w:p>
    <w:p>
      <w:pPr>
        <w:spacing w:after="0" w:line="242" w:lineRule="exact"/>
        <w:rPr>
          <w:rFonts w:ascii="Times New Roman" w:cs="Times New Roman" w:eastAsia="Times New Roman" w:hAnsi="Times New Roman"/>
          <w:sz w:val="18"/>
          <w:szCs w:val="18"/>
          <w:color w:val="auto"/>
        </w:rPr>
      </w:pPr>
    </w:p>
    <w:p>
      <w:pPr>
        <w:ind w:left="1540" w:right="72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&amp; people committee report required by SEC rules, which is included on page 64 of this Proxy Statement; and</w:t>
      </w:r>
    </w:p>
    <w:p>
      <w:pPr>
        <w:spacing w:after="0" w:line="242"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human resource policies and practices, including those related to talent acquisition and retention, key diversity initiatives, career development and organizational engagement and effectiveness.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68"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Ms. Foster, Dr. Ho and Dr. Scadden. Ms. Foster is the chair of the nominating and corporate governance committee. The nominating and corporate governance committee met four times during fiscal year 2025, including telephonic and virtual meetings. The nominating and corporate governance committee’s responsibilities include:</w:t>
      </w:r>
    </w:p>
    <w:p>
      <w:pPr>
        <w:spacing w:after="0" w:line="257" w:lineRule="exact"/>
        <w:rPr>
          <w:sz w:val="20"/>
          <w:szCs w:val="20"/>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306"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committee of our board of directors;</w:t>
      </w:r>
    </w:p>
    <w:p>
      <w:pPr>
        <w:spacing w:after="0" w:line="242"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management succession planning and human capital matters;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corporate governance principles to the board of directors;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self-evaluation of the board of directors; and</w:t>
      </w:r>
    </w:p>
    <w:p>
      <w:pPr>
        <w:spacing w:after="0" w:line="306"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programs, policies, disclosures and practices relating to ESG issues and impact to support the sustainable growth of our business.</w:t>
      </w:r>
    </w:p>
    <w:p>
      <w:pPr>
        <w:spacing w:after="0" w:line="202" w:lineRule="exact"/>
        <w:rPr>
          <w:sz w:val="20"/>
          <w:szCs w:val="20"/>
          <w:color w:val="auto"/>
        </w:rPr>
      </w:pPr>
    </w:p>
    <w:p>
      <w:pPr>
        <w:ind w:left="120" w:right="500" w:firstLine="771"/>
        <w:spacing w:after="0" w:line="282" w:lineRule="auto"/>
        <w:rPr>
          <w:sz w:val="20"/>
          <w:szCs w:val="20"/>
          <w:color w:val="auto"/>
        </w:rPr>
      </w:pPr>
      <w:r>
        <w:rPr>
          <w:rFonts w:ascii="Times New Roman" w:cs="Times New Roman" w:eastAsia="Times New Roman" w:hAnsi="Times New Roman"/>
          <w:sz w:val="18"/>
          <w:szCs w:val="18"/>
          <w:color w:val="auto"/>
        </w:rPr>
        <w:t>The processes and procedures followed by our nominating and corporate governance committee in identifying and evaluating director candidates are described above under the heading “Director Nomination Process”.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268"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The members of our science and technology committee are Drs. Backstrom, Ballal, Scadden and Fouse. Dr. Scadden is the chair of the science and technology committee. The science and technology committee assists our board’s oversight of our research and development activities. The science and technology committee met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40"/>
          </w:cols>
          <w:pgMar w:left="320" w:top="482"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three times during fiscal year 2025, including telephonic and virtual meetings. The science and technology committee’s responsibilities include:</w:t>
      </w:r>
    </w:p>
    <w:p>
      <w:pPr>
        <w:spacing w:after="0" w:line="306" w:lineRule="exact"/>
        <w:rPr>
          <w:sz w:val="20"/>
          <w:szCs w:val="20"/>
          <w:color w:val="auto"/>
        </w:rPr>
      </w:pPr>
    </w:p>
    <w:p>
      <w:pPr>
        <w:ind w:left="1540" w:right="20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242"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trends in research and development, and recommending to our board of directors and management emerging technologies for building the company’s technological strength;</w:t>
      </w:r>
    </w:p>
    <w:p>
      <w:pPr>
        <w:spacing w:after="0" w:line="242"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approaches to acquiring and maintaining technology positions (including but not limited to contracts, grants, collaborative efforts, alliances, and capital);</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and management on the scientific aspects of business development transactions;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the company’s research and development pipeline;</w:t>
      </w:r>
    </w:p>
    <w:p>
      <w:pPr>
        <w:spacing w:after="0" w:line="306"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with its oversight responsibility for enterprise risk management in areas affecting the company’s research and development; and</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such other topics as delegated to the science and technology committee from time to time by our board of directors.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Role in Risk Oversight</w:t>
      </w:r>
    </w:p>
    <w:p>
      <w:pPr>
        <w:spacing w:after="0" w:line="270"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Our board of directors has responsibility for the oversight of the company’s risk management processes and, either as a whole or through its committees, regularly discusses with management our major risk exposures, the potential impact of these risks on our business and the steps we take to manage them. The risk oversight process includes overseeing our periodic, company-wide enterprise risk management evaluation and receiving regular reports from board committees and members of senior management to enable our board of directors to understand the company’s risk identification, risk management and risk mitigation strategies with respect to areas of potential material risk, including operations, finance, legal, regulatory, strategic, reputational and human capital risk. Our chair promotes effective and transparent communication and consideration of matters presenting significant risks to the company through her role in developing the board’s meeting agendas, presiding over meetings and facilitating communications between management and the board of directors. Our lead director also promotes consideration of matters presenting significant risks to the company through her role of working with our chair and chief executive officer in preparing the board’s meeting agenda and determining the need for special meetings and facilitating communications between members of our board of directors, our chair and our chief executive officer.</w:t>
      </w:r>
    </w:p>
    <w:p>
      <w:pPr>
        <w:spacing w:after="0" w:line="235"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and provides direct oversight over our cybersecurity risk. Periodically, the audit committee reviews our policies with respect to risk assessment, risk management, loss prevention and regulatory compliance. Oversight by the audit committee includes direct communication with our external auditors, discussions with our chief compliance officer to monitor and review our regulatory compliance efforts, and discussions with management regarding significant financial and other risk exposures and risks relating to data privacy and cybersecurity and the actions management has taken to limit, monitor or control such exposures. The compensation &amp; people committee is responsible for ensuring that our compensation programs properly align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pay with performance, assessing whether any of our compensation policies or programs has the potential to encourage excessive risk-taking and for assessing risk with respect to human capital management. Oversight by the compensation &amp; people committee includes direct communication with our compensation consultants. The nominating and corporate governance committee manages risks associated with the board and committee composition, independence of the board of directors, corporate disclosure practices, potential conflicts of interest, ESG issues and management succession planning. The science and technology committee assists the board of directors’ oversight of the company’s long-term strategic goals, research and development activities and enterprise risk management in the areas affecting research and development.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w:t>
      </w:r>
    </w:p>
    <w:p>
      <w:pPr>
        <w:spacing w:after="0" w:line="192" w:lineRule="exact"/>
        <w:rPr>
          <w:sz w:val="20"/>
          <w:szCs w:val="20"/>
          <w:color w:val="auto"/>
        </w:rPr>
      </w:pPr>
    </w:p>
    <w:p>
      <w:pPr>
        <w:ind w:left="120" w:right="60" w:firstLine="771"/>
        <w:spacing w:after="0" w:line="258" w:lineRule="auto"/>
        <w:rPr>
          <w:sz w:val="20"/>
          <w:szCs w:val="20"/>
          <w:color w:val="auto"/>
        </w:rPr>
      </w:pPr>
      <w:r>
        <w:rPr>
          <w:rFonts w:ascii="Times New Roman" w:cs="Times New Roman" w:eastAsia="Times New Roman" w:hAnsi="Times New Roman"/>
          <w:sz w:val="18"/>
          <w:szCs w:val="18"/>
          <w:color w:val="auto"/>
        </w:rPr>
        <w:t>We undertake a comprehensive enterprise risk management analysis on a periodic basis in an effort to identify and prioritize key risks facing our company in the short-, medium-and long-term time frames, and our management team communicates the findings of this analysis to the audit committee and our entire board of directors on a periodic basis. Our board of directors believes that full and open communication between management, the committees and the board of directors is essential for effective risk management and oversight, including with respect to financial, regulatory, cybersecurity, human capital management, board and ESG topics and risks.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Considerations in our Compensation Program</w:t>
      </w:r>
    </w:p>
    <w:p>
      <w:pPr>
        <w:spacing w:after="0" w:line="270"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color w:val="auto"/>
        </w:rPr>
        <w:t>We along with our compensation &amp; people committee of our board of directors have reviewed the compensation policies and practices for all of our employees and believe any risks arising from our compensation policies and programs are not reasonably likely to have a material adverse effect on our company or its operations. In reaching this conclusion, we and the compensation &amp; people committee considered several factors, including the following:</w:t>
      </w:r>
    </w:p>
    <w:p>
      <w:pPr>
        <w:spacing w:after="0" w:line="261" w:lineRule="exact"/>
        <w:rPr>
          <w:sz w:val="20"/>
          <w:szCs w:val="20"/>
          <w:color w:val="auto"/>
        </w:rPr>
      </w:pPr>
    </w:p>
    <w:p>
      <w:pPr>
        <w:ind w:left="1540" w:right="2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base salaries consistent with our executive officers’ responsibilities and market comparable companies to ensure that our executive officers would not be motivated to take excessive risks to achieve a reasonable level of financial security;</w:t>
      </w:r>
    </w:p>
    <w:p>
      <w:pPr>
        <w:spacing w:after="0" w:line="242"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between fixed and variable, annual and long-term, and cash and equity compensation, which is intended to encourage strategies and actions that are in our company’s long-term best interests;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periods for equity compensation awards that reward sustained stock price appreciation;</w:t>
      </w:r>
    </w:p>
    <w:p>
      <w:pPr>
        <w:spacing w:after="0" w:line="306"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company performance (which drives the amount of cash and number of shares available for grant under our contingent annual performance-based cash incentive and annual equity incentive programs, respectively) based on a variety of long-and short-term objectives in which no single objective is given substantial weight, thus diversifying the risk associated with any single indicator of performance; and</w:t>
      </w:r>
    </w:p>
    <w:p>
      <w:pPr>
        <w:spacing w:after="0" w:line="260"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 available to our compensation &amp; people committee not to apply fixed formulae in assessing our company performance, thus enabling the compensation &amp; people committee to, among other things, (a) eliminate the potential incentive for management to conduct activities that are in the company’s annual goals, but which may not, due to new data or other inputs, ultimately prove to be in the best interest of stockholders, and (b) reward management for making decisions that are in the long-term best interest of our product development programs, even when those decisions result in the failure to meet short-term objectives.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jc w:val="both"/>
        <w:ind w:left="120" w:right="300" w:firstLine="771"/>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that is designed to provide a total compensation package that enables us to attract and retain, on a long-term basis, high caliber non-employee directors. The cash and equity compensation for non-employee directors under the policy, effective January 1, 2025, is set forth in the table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430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Cash Compensation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Options/RSUs Granted</w:t>
            </w: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2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340" w:type="dxa"/>
            <w:vAlign w:val="bottom"/>
            <w:tcBorders>
              <w:top w:val="single" w:sz="8" w:color="auto"/>
            </w:tcBorders>
            <w:shd w:val="clear" w:color="auto" w:fill="CCEEFF"/>
          </w:tcPr>
          <w:p>
            <w:pPr>
              <w:spacing w:after="0"/>
              <w:rPr>
                <w:sz w:val="17"/>
                <w:szCs w:val="17"/>
                <w:color w:val="auto"/>
              </w:rPr>
            </w:pPr>
          </w:p>
        </w:tc>
      </w:tr>
      <w:tr>
        <w:trPr>
          <w:trHeight w:val="306"/>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Board Member</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$50,000</w:t>
            </w:r>
          </w:p>
        </w:tc>
        <w:tc>
          <w:tcPr>
            <w:tcW w:w="12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$630,000 in equity awards upon initial</w:t>
            </w:r>
          </w:p>
        </w:tc>
      </w:tr>
      <w:tr>
        <w:trPr>
          <w:trHeight w:val="216"/>
        </w:trPr>
        <w:tc>
          <w:tcPr>
            <w:tcW w:w="4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election (split approximately 75% in stock</w:t>
            </w:r>
          </w:p>
        </w:tc>
      </w:tr>
      <w:tr>
        <w:trPr>
          <w:trHeight w:val="216"/>
        </w:trPr>
        <w:tc>
          <w:tcPr>
            <w:tcW w:w="4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options and 25% in RSUs, based on value);</w:t>
            </w:r>
          </w:p>
        </w:tc>
      </w:tr>
      <w:tr>
        <w:trPr>
          <w:trHeight w:val="216"/>
        </w:trPr>
        <w:tc>
          <w:tcPr>
            <w:tcW w:w="4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 in equity awards immediately</w:t>
            </w:r>
          </w:p>
        </w:tc>
      </w:tr>
      <w:tr>
        <w:trPr>
          <w:trHeight w:val="216"/>
        </w:trPr>
        <w:tc>
          <w:tcPr>
            <w:tcW w:w="4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following each annual meeting thereafter</w:t>
            </w:r>
          </w:p>
        </w:tc>
      </w:tr>
      <w:tr>
        <w:trPr>
          <w:trHeight w:val="216"/>
        </w:trPr>
        <w:tc>
          <w:tcPr>
            <w:tcW w:w="4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(split approximately 75% in stock options and</w:t>
            </w:r>
          </w:p>
        </w:tc>
      </w:tr>
      <w:tr>
        <w:trPr>
          <w:trHeight w:val="234"/>
        </w:trPr>
        <w:tc>
          <w:tcPr>
            <w:tcW w:w="4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in RSUs, based on value)*</w:t>
            </w:r>
          </w:p>
        </w:tc>
      </w:tr>
      <w:tr>
        <w:trPr>
          <w:trHeight w:val="198"/>
        </w:trPr>
        <w:tc>
          <w:tcPr>
            <w:tcW w:w="4300" w:type="dxa"/>
            <w:vAlign w:val="bottom"/>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Chair</w:t>
            </w:r>
          </w:p>
        </w:tc>
        <w:tc>
          <w:tcPr>
            <w:tcW w:w="3380" w:type="dxa"/>
            <w:vAlign w:val="bottom"/>
            <w:gridSpan w:val="2"/>
            <w:shd w:val="clear" w:color="auto" w:fill="CCEEFF"/>
          </w:tcPr>
          <w:p>
            <w:pPr>
              <w:ind w:left="760"/>
              <w:spacing w:after="0" w:line="198" w:lineRule="exact"/>
              <w:rPr>
                <w:sz w:val="20"/>
                <w:szCs w:val="20"/>
                <w:color w:val="auto"/>
              </w:rPr>
            </w:pPr>
            <w:r>
              <w:rPr>
                <w:rFonts w:ascii="Times New Roman" w:cs="Times New Roman" w:eastAsia="Times New Roman" w:hAnsi="Times New Roman"/>
                <w:sz w:val="18"/>
                <w:szCs w:val="18"/>
                <w:color w:val="auto"/>
              </w:rPr>
              <w:t>Additional</w:t>
            </w:r>
          </w:p>
        </w:tc>
        <w:tc>
          <w:tcPr>
            <w:tcW w:w="3340" w:type="dxa"/>
            <w:vAlign w:val="bottom"/>
            <w:shd w:val="clear" w:color="auto" w:fill="CCEEFF"/>
          </w:tcPr>
          <w:p>
            <w:pPr>
              <w:spacing w:after="0"/>
              <w:rPr>
                <w:sz w:val="17"/>
                <w:szCs w:val="17"/>
                <w:color w:val="auto"/>
              </w:rPr>
            </w:pPr>
          </w:p>
        </w:tc>
      </w:tr>
      <w:tr>
        <w:trPr>
          <w:trHeight w:val="234"/>
        </w:trPr>
        <w:tc>
          <w:tcPr>
            <w:tcW w:w="43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$35,000</w:t>
            </w:r>
          </w:p>
        </w:tc>
        <w:tc>
          <w:tcPr>
            <w:tcW w:w="1220" w:type="dxa"/>
            <w:vAlign w:val="bottom"/>
            <w:shd w:val="clear" w:color="auto" w:fill="CCEEFF"/>
          </w:tcPr>
          <w:p>
            <w:pPr>
              <w:spacing w:after="0"/>
              <w:rPr>
                <w:sz w:val="20"/>
                <w:szCs w:val="20"/>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430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Lead Director</w:t>
            </w:r>
          </w:p>
        </w:tc>
        <w:tc>
          <w:tcPr>
            <w:tcW w:w="3380" w:type="dxa"/>
            <w:vAlign w:val="bottom"/>
            <w:gridSpan w:val="2"/>
          </w:tcPr>
          <w:p>
            <w:pPr>
              <w:ind w:left="760"/>
              <w:spacing w:after="0" w:line="198" w:lineRule="exact"/>
              <w:rPr>
                <w:sz w:val="20"/>
                <w:szCs w:val="20"/>
                <w:color w:val="auto"/>
              </w:rPr>
            </w:pPr>
            <w:r>
              <w:rPr>
                <w:rFonts w:ascii="Times New Roman" w:cs="Times New Roman" w:eastAsia="Times New Roman" w:hAnsi="Times New Roman"/>
                <w:sz w:val="18"/>
                <w:szCs w:val="18"/>
                <w:color w:val="auto"/>
              </w:rPr>
              <w:t>Additional</w:t>
            </w:r>
          </w:p>
        </w:tc>
        <w:tc>
          <w:tcPr>
            <w:tcW w:w="3340" w:type="dxa"/>
            <w:vAlign w:val="bottom"/>
          </w:tcPr>
          <w:p>
            <w:pPr>
              <w:spacing w:after="0"/>
              <w:rPr>
                <w:sz w:val="17"/>
                <w:szCs w:val="17"/>
                <w:color w:val="auto"/>
              </w:rPr>
            </w:pPr>
          </w:p>
        </w:tc>
      </w:tr>
      <w:tr>
        <w:trPr>
          <w:trHeight w:val="234"/>
        </w:trPr>
        <w:tc>
          <w:tcPr>
            <w:tcW w:w="4300" w:type="dxa"/>
            <w:vAlign w:val="bottom"/>
          </w:tcPr>
          <w:p>
            <w:pPr>
              <w:spacing w:after="0"/>
              <w:rPr>
                <w:sz w:val="20"/>
                <w:szCs w:val="20"/>
                <w:color w:val="auto"/>
              </w:rPr>
            </w:pP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$30,000</w:t>
            </w:r>
          </w:p>
        </w:tc>
        <w:tc>
          <w:tcPr>
            <w:tcW w:w="1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324"/>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$20,000</w:t>
            </w:r>
          </w:p>
        </w:tc>
        <w:tc>
          <w:tcPr>
            <w:tcW w:w="12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Member (other than Chair)</w:t>
            </w:r>
          </w:p>
        </w:tc>
        <w:tc>
          <w:tcPr>
            <w:tcW w:w="21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$10,000</w:t>
            </w:r>
          </w:p>
        </w:tc>
        <w:tc>
          <w:tcPr>
            <w:tcW w:w="122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&amp; People Committee: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08"/>
        </w:trPr>
        <w:tc>
          <w:tcPr>
            <w:tcW w:w="4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216"/>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Chair</w:t>
            </w:r>
          </w:p>
        </w:tc>
        <w:tc>
          <w:tcPr>
            <w:tcW w:w="21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$17,500</w:t>
            </w:r>
          </w:p>
        </w:tc>
        <w:tc>
          <w:tcPr>
            <w:tcW w:w="122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Member (other than Chair)</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$8,750</w:t>
            </w:r>
          </w:p>
        </w:tc>
        <w:tc>
          <w:tcPr>
            <w:tcW w:w="1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0"/>
        </w:trPr>
        <w:tc>
          <w:tcPr>
            <w:tcW w:w="4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340" w:type="dxa"/>
            <w:vAlign w:val="bottom"/>
          </w:tcPr>
          <w:p>
            <w:pPr>
              <w:spacing w:after="0"/>
              <w:rPr>
                <w:sz w:val="7"/>
                <w:szCs w:val="7"/>
                <w:color w:val="auto"/>
              </w:rPr>
            </w:pPr>
          </w:p>
        </w:tc>
      </w:tr>
      <w:tr>
        <w:trPr>
          <w:trHeight w:val="194"/>
        </w:trPr>
        <w:tc>
          <w:tcPr>
            <w:tcW w:w="4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Nominating and Corporate Governance</w:t>
            </w:r>
          </w:p>
        </w:tc>
        <w:tc>
          <w:tcPr>
            <w:tcW w:w="2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r>
      <w:tr>
        <w:trPr>
          <w:trHeight w:val="23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r>
      <w:tr>
        <w:trPr>
          <w:trHeight w:val="324"/>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$10,000</w:t>
            </w:r>
          </w:p>
        </w:tc>
        <w:tc>
          <w:tcPr>
            <w:tcW w:w="12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Member (other than Chair)</w:t>
            </w:r>
          </w:p>
        </w:tc>
        <w:tc>
          <w:tcPr>
            <w:tcW w:w="21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2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08"/>
        </w:trPr>
        <w:tc>
          <w:tcPr>
            <w:tcW w:w="4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340" w:type="dxa"/>
            <w:vAlign w:val="bottom"/>
          </w:tcPr>
          <w:p>
            <w:pPr>
              <w:spacing w:after="0"/>
              <w:rPr>
                <w:sz w:val="9"/>
                <w:szCs w:val="9"/>
                <w:color w:val="auto"/>
              </w:rPr>
            </w:pPr>
          </w:p>
        </w:tc>
      </w:tr>
      <w:tr>
        <w:trPr>
          <w:trHeight w:val="216"/>
        </w:trPr>
        <w:tc>
          <w:tcPr>
            <w:tcW w:w="4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Chair</w:t>
            </w:r>
          </w:p>
        </w:tc>
        <w:tc>
          <w:tcPr>
            <w:tcW w:w="21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$15,000</w:t>
            </w:r>
          </w:p>
        </w:tc>
        <w:tc>
          <w:tcPr>
            <w:tcW w:w="1220" w:type="dxa"/>
            <w:vAlign w:val="bottom"/>
            <w:shd w:val="clear" w:color="auto" w:fill="CCEEFF"/>
          </w:tcPr>
          <w:p>
            <w:pPr>
              <w:spacing w:after="0"/>
              <w:rPr>
                <w:sz w:val="18"/>
                <w:szCs w:val="18"/>
                <w:color w:val="auto"/>
              </w:rPr>
            </w:pP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Member (other than Chair)</w:t>
            </w:r>
          </w:p>
        </w:tc>
        <w:tc>
          <w:tcPr>
            <w:tcW w:w="21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number of shares for stock option and RSU awards to be determined on the date of grant based on grant date fair value.</w:t>
      </w:r>
    </w:p>
    <w:p>
      <w:pPr>
        <w:spacing w:after="0" w:line="266" w:lineRule="exact"/>
        <w:rPr>
          <w:sz w:val="20"/>
          <w:szCs w:val="20"/>
          <w:color w:val="auto"/>
        </w:rPr>
      </w:pPr>
    </w:p>
    <w:p>
      <w:pPr>
        <w:ind w:left="120" w:right="400" w:firstLine="771"/>
        <w:spacing w:after="0" w:line="282" w:lineRule="auto"/>
        <w:rPr>
          <w:sz w:val="20"/>
          <w:szCs w:val="20"/>
          <w:color w:val="auto"/>
        </w:rPr>
      </w:pPr>
      <w:r>
        <w:rPr>
          <w:rFonts w:ascii="Times New Roman" w:cs="Times New Roman" w:eastAsia="Times New Roman" w:hAnsi="Times New Roman"/>
          <w:sz w:val="18"/>
          <w:szCs w:val="18"/>
          <w:color w:val="auto"/>
        </w:rPr>
        <w:t>Under the policy, non-employee members of our board of directors also are reimbursed for travel, lodging and other reasonable expenses incurred in attending board of directors or committee meetings.</w:t>
      </w:r>
    </w:p>
    <w:p>
      <w:pPr>
        <w:spacing w:after="0" w:line="189" w:lineRule="exact"/>
        <w:rPr>
          <w:sz w:val="20"/>
          <w:szCs w:val="20"/>
          <w:color w:val="auto"/>
        </w:rPr>
      </w:pPr>
    </w:p>
    <w:p>
      <w:pPr>
        <w:ind w:left="120" w:right="60" w:firstLine="771"/>
        <w:spacing w:after="0" w:line="289" w:lineRule="auto"/>
        <w:rPr>
          <w:sz w:val="20"/>
          <w:szCs w:val="20"/>
          <w:color w:val="auto"/>
        </w:rPr>
      </w:pPr>
      <w:r>
        <w:rPr>
          <w:rFonts w:ascii="Times New Roman" w:cs="Times New Roman" w:eastAsia="Times New Roman" w:hAnsi="Times New Roman"/>
          <w:sz w:val="17"/>
          <w:szCs w:val="17"/>
          <w:color w:val="auto"/>
        </w:rPr>
        <w:t>The stock options granted to our non-employee directors have an exercise price equal to the fair market value of our common stock on the date of grant and expire ten years after the date of grant. The stock options and RSUs granted to our non-employee directors are subject to vesting based upon a director’s continued service on our board of directors. The initial stock options granted to our newly elected non-employee directors vest with</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respect to 25% of the shares on the first anniversary of the grant date and monthly thereafter until the fourth anniversary of the date of grant. The initial RSUs granted to our newly elected non-employee directors vest as to one-third of the underlying shares each year following the grant date. The annual stock options and RSUs granted to our non-employee directors vest with respect to 100% of the shares on the first anniversary of the grant date. To the extent that a non-employee director has other responsibilities, such director may receive additional compensation to the extent deemed appropriate by our board of directors. Directors who also are employees do not receive cash or equity compensation for service on the board of directors in addition to compensation payable for their service as employees.</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for our non-employee directors during the fiscal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40" w:type="dxa"/>
            <w:vAlign w:val="bottom"/>
            <w:vMerge w:val="restart"/>
          </w:tcPr>
          <w:p>
            <w:pPr>
              <w:spacing w:after="0"/>
              <w:rPr>
                <w:sz w:val="18"/>
                <w:szCs w:val="18"/>
                <w:color w:val="auto"/>
              </w:rPr>
            </w:pPr>
          </w:p>
        </w:tc>
        <w:tc>
          <w:tcPr>
            <w:tcW w:w="1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Stock Awards</w:t>
            </w: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460" w:type="dxa"/>
            <w:vAlign w:val="bottom"/>
            <w:tcBorders>
              <w:bottom w:val="single" w:sz="8" w:color="auto"/>
            </w:tcBorders>
            <w:vMerge w:val="continue"/>
          </w:tcPr>
          <w:p>
            <w:pPr>
              <w:spacing w:after="0"/>
              <w:rPr>
                <w:sz w:val="21"/>
                <w:szCs w:val="21"/>
                <w:color w:val="auto"/>
              </w:rPr>
            </w:pPr>
          </w:p>
        </w:tc>
        <w:tc>
          <w:tcPr>
            <w:tcW w:w="2940" w:type="dxa"/>
            <w:vAlign w:val="bottom"/>
            <w:vMerge w:val="continue"/>
          </w:tcPr>
          <w:p>
            <w:pPr>
              <w:spacing w:after="0"/>
              <w:rPr>
                <w:sz w:val="21"/>
                <w:szCs w:val="21"/>
                <w:color w:val="auto"/>
              </w:rPr>
            </w:pP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8"/>
              </w:rPr>
              <w:t xml:space="preserve">Paid in Cash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w:t>
            </w:r>
          </w:p>
        </w:tc>
        <w:tc>
          <w:tcPr>
            <w:tcW w:w="5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w:t>
            </w:r>
          </w:p>
        </w:tc>
        <w:tc>
          <w:tcPr>
            <w:tcW w:w="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Jay Backstrom, M.D., M.P.H.</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27,656</w:t>
            </w:r>
          </w:p>
        </w:tc>
        <w:tc>
          <w:tcPr>
            <w:tcW w:w="5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472,002</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157,491</w:t>
            </w: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657,149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Ballal, Ph.D.</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67,500</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467,157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Capello</w:t>
            </w:r>
          </w:p>
        </w:tc>
        <w:tc>
          <w:tcPr>
            <w:tcW w:w="1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70,000</w:t>
            </w: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469,657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Kaye Foster</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98,750</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498,407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Jacqualyn Fouse, Ph.D.</w:t>
            </w:r>
          </w:p>
        </w:tc>
        <w:tc>
          <w:tcPr>
            <w:tcW w:w="1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92,500</w:t>
            </w: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492,157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Maykin Ho, Ph.D.</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65,000</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464,657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Catherine Owen Adams</w:t>
            </w:r>
          </w:p>
        </w:tc>
        <w:tc>
          <w:tcPr>
            <w:tcW w:w="1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58,750</w:t>
            </w: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458,407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Scadden, M.D.</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70,000</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469,657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Schenkein, M.D.(5)</w:t>
            </w:r>
          </w:p>
        </w:tc>
        <w:tc>
          <w:tcPr>
            <w:tcW w:w="1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9,424</w:t>
            </w:r>
          </w:p>
        </w:tc>
        <w:tc>
          <w:tcPr>
            <w:tcW w:w="17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Smith</w:t>
            </w: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67,500</w:t>
            </w: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299,689</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99,968</w:t>
            </w:r>
          </w:p>
        </w:tc>
        <w:tc>
          <w:tcPr>
            <w:tcW w:w="17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467,157</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660" w:right="120" w:hanging="544"/>
        <w:spacing w:after="0" w:line="271"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 with respect to Dr. Backstrom, stock options to purchase 23,393 shares of common stock granted during 2025 upon his appointment to our board of directors and (2) with respect to our other non-employee directors, stock options to purchase 15,768 shares of common stock granted during 2025 for service on our board of directors. The shares subject to Dr. Backstrom’s stock options vest as to 25% of the underlying shares on July 8, 2026, with the remaining 75% vesting in 36 equal monthly installments thereafter, subject to continued service to the company on the applicable vesting dates. The stock options granted to our other non-employee directors vest in full on June 18, 2026, subject to continued service to the company on such vesting date. Amounts listed represent the aggregate fair value amount computed as of the grant date of the stock option awards granted during 2025 in accordance with Financial Accounting Standards Board Accounting Standards Codification Topic 718, or FASB ASC Topic 718. Assumptions used in the calculation of these amounts are included in Note 9, Share-Based Payments, of the Notes to our Consolidated Financial Statements in our Annual Report on Form 10-K filed with the SEC on February 12, 2026.</w:t>
      </w:r>
    </w:p>
    <w:p>
      <w:pPr>
        <w:spacing w:after="0" w:line="254" w:lineRule="exact"/>
        <w:rPr>
          <w:rFonts w:ascii="Times New Roman" w:cs="Times New Roman" w:eastAsia="Times New Roman" w:hAnsi="Times New Roman"/>
          <w:sz w:val="17"/>
          <w:szCs w:val="17"/>
          <w:color w:val="auto"/>
        </w:rPr>
      </w:pPr>
    </w:p>
    <w:p>
      <w:pPr>
        <w:ind w:left="660" w:right="380" w:hanging="544"/>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underlying stock options outstanding as of December 31, 2025 held by our non-employee directors were: Dr. Backstrom: 23,393, Dr. Ballal: 64,447, Mr. Capello: 60,719, Ms. Foster: 78,410, Dr. Fouse: 888,546, Dr. Ho: 123,410, Ms. Owen Adams: 60,719, Dr. Scadden: 129,010, and Ms. Smith: 84,447.</w:t>
      </w:r>
    </w:p>
    <w:p>
      <w:pPr>
        <w:spacing w:after="0" w:line="256" w:lineRule="exact"/>
        <w:rPr>
          <w:rFonts w:ascii="Times New Roman" w:cs="Times New Roman" w:eastAsia="Times New Roman" w:hAnsi="Times New Roman"/>
          <w:sz w:val="18"/>
          <w:szCs w:val="18"/>
          <w:color w:val="auto"/>
        </w:rPr>
      </w:pPr>
    </w:p>
    <w:p>
      <w:pPr>
        <w:ind w:left="660" w:right="40" w:hanging="544"/>
        <w:spacing w:after="0" w:line="257"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 with respect to Dr. Backstrom, RSUs representing the contingent right to receive 4,341 shares of common stock granted during 2025 upon his appointment to our board of directors and (2) with respect to our other directors, RSUs representing the contingent right to receive 2,816 shares of common stock granted during 2025 for service on our board of directors. The shares subject to the RSUs granted to</w:t>
      </w:r>
    </w:p>
    <w:p>
      <w:pPr>
        <w:spacing w:after="0" w:line="1" w:lineRule="exact"/>
        <w:rPr>
          <w:rFonts w:ascii="Times New Roman" w:cs="Times New Roman" w:eastAsia="Times New Roman" w:hAnsi="Times New Roman"/>
          <w:sz w:val="18"/>
          <w:szCs w:val="18"/>
          <w:color w:val="auto"/>
        </w:rPr>
      </w:pPr>
    </w:p>
    <w:p>
      <w:pPr>
        <w:ind w:left="66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Backstrom vest in three equal annual installments beginning on July 8, 2026, subject to continued service to the company on the applicable vesting dates. The shares subject to the RSUs granted to our other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non-employee directors vest in full on June 18, 2026, subject to continued service to the company on such vesting date. Amounts listed represent the aggregate fair value amount computed as of the grant date of the RSUs granted during 2025 in accordance with FASB ASC Topic 718. Assumptions used in the calculation of these amounts are included in Note 9, Share-Based Payments, of the Notes to our Consolidated Financial Statements in our Annual Report on Form 10-K filed with the SEC on February 12, 2026.</w:t>
      </w:r>
    </w:p>
    <w:p>
      <w:pPr>
        <w:spacing w:after="0" w:line="261" w:lineRule="exact"/>
        <w:rPr>
          <w:sz w:val="20"/>
          <w:szCs w:val="20"/>
          <w:color w:val="auto"/>
        </w:rPr>
      </w:pPr>
    </w:p>
    <w:p>
      <w:pPr>
        <w:ind w:left="660" w:right="40" w:hanging="544"/>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underlying RSUs outstanding as of December 31, 2025 held by our non-employee directors were: Dr. Backstrom: 4,341, Dr. Ballal: 2,816, Mr. Capello: 4,792, Ms. Foster: 2,816, Dr. Fouse: 2,816, Dr. Ho: 2,816, Ms. Owen Adams: 4,792, Dr. Scadden: 2,816, and Ms. Smith: 2,816.</w:t>
      </w:r>
    </w:p>
    <w:p>
      <w:pPr>
        <w:spacing w:after="0" w:line="256" w:lineRule="exact"/>
        <w:rPr>
          <w:rFonts w:ascii="Times New Roman" w:cs="Times New Roman" w:eastAsia="Times New Roman" w:hAnsi="Times New Roman"/>
          <w:sz w:val="18"/>
          <w:szCs w:val="18"/>
          <w:color w:val="auto"/>
        </w:rPr>
      </w:pPr>
    </w:p>
    <w:p>
      <w:pPr>
        <w:ind w:left="660" w:right="340" w:hanging="544"/>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Schenkein resigned from our board of directors effective February 28, 2025 and did not receive an annual equity grant for service during 2025.</w:t>
      </w:r>
    </w:p>
    <w:p>
      <w:pPr>
        <w:spacing w:after="0" w:line="189" w:lineRule="exact"/>
        <w:rPr>
          <w:sz w:val="20"/>
          <w:szCs w:val="20"/>
          <w:color w:val="auto"/>
        </w:rPr>
      </w:pPr>
    </w:p>
    <w:p>
      <w:pPr>
        <w:jc w:val="both"/>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Mr. Goff, who serves as our chief executive officer and a member of our board of directors, did not receive any additional compensation for his service as a director during 2025. The compensation that we paid to Mr. Goff in his role as our chief executive officer is disclosed under “Executive Compensation–Summary Compensation Table.”</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70" w:lineRule="exact"/>
        <w:rPr>
          <w:sz w:val="20"/>
          <w:szCs w:val="20"/>
          <w:color w:val="auto"/>
        </w:rPr>
      </w:pPr>
    </w:p>
    <w:p>
      <w:pPr>
        <w:ind w:left="120" w:right="140" w:firstLine="771"/>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257" w:lineRule="exact"/>
        <w:rPr>
          <w:sz w:val="20"/>
          <w:szCs w:val="20"/>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stock repurchases or other distributions; or</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52" w:lineRule="exact"/>
        <w:rPr>
          <w:sz w:val="20"/>
          <w:szCs w:val="20"/>
          <w:color w:val="auto"/>
        </w:rPr>
      </w:pPr>
    </w:p>
    <w:p>
      <w:pPr>
        <w:jc w:val="both"/>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20" w:lineRule="exact"/>
        <w:rPr>
          <w:sz w:val="20"/>
          <w:szCs w:val="20"/>
          <w:color w:val="auto"/>
        </w:rPr>
      </w:pPr>
    </w:p>
    <w:p>
      <w:pPr>
        <w:ind w:left="120" w:right="520" w:firstLine="771"/>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89" w:lineRule="exact"/>
        <w:rPr>
          <w:sz w:val="20"/>
          <w:szCs w:val="20"/>
          <w:color w:val="auto"/>
        </w:rPr>
      </w:pPr>
    </w:p>
    <w:p>
      <w:pPr>
        <w:ind w:left="120" w:right="120" w:firstLine="771"/>
        <w:spacing w:after="0" w:line="266"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our directors and officers arising out of claims based on acts or omissions in their capacities as directors or officers. In addition, we have entered into indemnification agreements with our directors and executive officers. These indemnification agreements require us, among other things, to indemnify each such director and executive officer for some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expenses, including attorneys’ fees, judgments, fines and settlement amounts incurred by him in any action or proceeding arising out of his service as one of our directors or executive officers.</w:t>
      </w:r>
    </w:p>
    <w:p>
      <w:pPr>
        <w:spacing w:after="0" w:line="189" w:lineRule="exact"/>
        <w:rPr>
          <w:sz w:val="20"/>
          <w:szCs w:val="20"/>
          <w:color w:val="auto"/>
        </w:rPr>
      </w:pPr>
    </w:p>
    <w:p>
      <w:pPr>
        <w:ind w:left="120" w:right="260" w:firstLine="771"/>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02" w:lineRule="exact"/>
        <w:rPr>
          <w:sz w:val="20"/>
          <w:szCs w:val="20"/>
          <w:color w:val="auto"/>
        </w:rPr>
      </w:pPr>
    </w:p>
    <w:p>
      <w:pPr>
        <w:ind w:left="120" w:right="420" w:firstLine="771"/>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directors, executive officers or persons controlling us, in the opinion of the SEC, such indemnification is against public policy as expressed in the Securities Act and is therefore unenforceable.</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Processes</w:t>
      </w:r>
    </w:p>
    <w:p>
      <w:pPr>
        <w:spacing w:after="0" w:line="256"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The compensation &amp; people committee generally meets at least four times annually and with greater frequency if necessary. The agenda for each meeting is usually developed by the chair of the compensation &amp; people committee, in consultation with the chief executive officer or the chief people officer. The compensation &amp; people committee meets regularly in executive session. From time to time, various members of management and other employees as well as outside advisors or consultants are invited by the compensation &amp; people committee to make presentations, provide financial or other background information or advice or otherwise participate in compensation &amp; people committee meetings. The chief executive officer may not participate in, or be present during, any deliberations or determinations of the compensation &amp; people committee regarding his or her compensation. The charter of the compensation &amp; people committee grants the compensation &amp; people committee full access to all of our books, records, facilities and personnel, as well as authority to obtain, at our expense, advice and assistance from internal and external legal, accounting or other advisors and consultants and other external resources that the compensation &amp; people committee considers necessary or appropriate in the performance of its duties. In particular, the compensation &amp; people committee has the sole authority to retain compensation consultants to assist in its evaluation of executive and director compensation, including the authority to approve the consultant’s reasonable fees and other retention terms.</w:t>
      </w:r>
    </w:p>
    <w:p>
      <w:pPr>
        <w:spacing w:after="0" w:line="232" w:lineRule="exact"/>
        <w:rPr>
          <w:sz w:val="20"/>
          <w:szCs w:val="20"/>
          <w:color w:val="auto"/>
        </w:rPr>
      </w:pPr>
    </w:p>
    <w:p>
      <w:pPr>
        <w:ind w:left="120" w:right="100" w:firstLine="771"/>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2025, the compensation &amp; people committee directly engaged the Human Capital Solutions practice at Aon plc, or Aon, to advise the compensation &amp; people committee on our compensation program for executive officers, which includes base salaries, annual performance-based cash incentives and equity incentive awards, and on our non-employee director compensation policy. Aon did not determine or make recommendations to the compensation &amp; people committee regarding the specific amount or form of compensation of our executive officers or directors for fiscal year ended December 31, 2025, other than recommendations with respect to the proposed amendment to our 2023 Stock Incentive Plan, as Amended.</w:t>
      </w:r>
    </w:p>
    <w:p>
      <w:pPr>
        <w:spacing w:after="0" w:line="214"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Historically, the compensation &amp; people committee has made (or has recommended that the independent members of the board of directors make) most of the significant adjustments to annual compensation, determined bonus and equity awards and established new performance objectives at one or more meetings held during the last quarter of the year and the first quarter of the following year. However, the compensation &amp; people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&amp; people committee is responsible for making determinations regarding compensation of our executive officers other than our chief executive officer, making changes to pre-approved salary ranges, salary increases, equity awards, incentive payments and pre-approved equity ranges for new hires and high performers, the initiation of offerings under our 2013 employee stock purchase plan and making material changes to benefits offered to our employees. In addition, the compensation &amp; people committee makes recommendations to our board of directors regarding the compensation of directors and the chief executive officer. Under its charter, the compensation &amp; people committee may form, and delegate authority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subcommittees, consisting of independent directors, as it deems appropriate. During fiscal year 2025, the compensation &amp; people committee did not form or delegate authority to such subcommittees. During fiscal year 2025, the compensation &amp; people committee delegated to the chief executive officer, or if the chief executive officer was unavailable, the chief financial officer, decision-making authority related to initial salary levels and salary adjustments, incentive payments and option and RSU grants for all non-executive officers, and non-material changes to employee benefits. Such delegated decision-making is governed by guidelines established by the compensation &amp; people committee.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70"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We have reviewed the company’s audited consolidated financial statements for the fiscal year ended December 31, 2025 and discussed them with company management and PricewaterhouseCoopers LLP, the company’s independent registered public accounting firm.</w:t>
      </w:r>
    </w:p>
    <w:p>
      <w:pPr>
        <w:spacing w:after="0" w:line="216" w:lineRule="exact"/>
        <w:rPr>
          <w:sz w:val="20"/>
          <w:szCs w:val="20"/>
          <w:color w:val="auto"/>
        </w:rPr>
      </w:pPr>
    </w:p>
    <w:p>
      <w:pPr>
        <w:ind w:left="120" w:right="100" w:firstLine="771"/>
        <w:spacing w:after="0" w:line="255" w:lineRule="auto"/>
        <w:rPr>
          <w:sz w:val="20"/>
          <w:szCs w:val="20"/>
          <w:color w:val="auto"/>
        </w:rPr>
      </w:pPr>
      <w:r>
        <w:rPr>
          <w:rFonts w:ascii="Times New Roman" w:cs="Times New Roman" w:eastAsia="Times New Roman" w:hAnsi="Times New Roman"/>
          <w:sz w:val="18"/>
          <w:szCs w:val="18"/>
          <w:color w:val="auto"/>
        </w:rPr>
        <w:t>We have received from, and discussed with, PricewaterhouseCoopers LLP, which is responsible for expressing an opinion on the conformity of the company’s audited consolidated financial statements with accounting principles generally accepted in the United States, its judgments as to the quality, not just the acceptability, of the company’s accounting principles and such other matters as are required to be discussed by the applicable requirements of the SEC and the Public Company Accounting Oversight Board, or the PCAOB. In addition, we have received from PricewaterhouseCoopers LLP the written disclosures and the letter required by applicable requirements of the PCAOB regarding its communications with us concerning independence, have considered the compatibility of non-audit services with the auditors’ independence and have discussed with PricewaterhouseCoopers LLP its independence from management and the company.</w:t>
      </w:r>
    </w:p>
    <w:p>
      <w:pPr>
        <w:spacing w:after="0" w:line="216" w:lineRule="exact"/>
        <w:rPr>
          <w:sz w:val="20"/>
          <w:szCs w:val="20"/>
          <w:color w:val="auto"/>
        </w:rPr>
      </w:pPr>
    </w:p>
    <w:p>
      <w:pPr>
        <w:ind w:left="120" w:right="380" w:firstLine="771"/>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we recommended to the board of directors that the audited consolidated financial statements be included in the company’s Annual Report on Form 10-K for the year ended December 31, 2025.</w:t>
      </w:r>
    </w:p>
    <w:p>
      <w:pPr>
        <w:spacing w:after="0" w:line="202" w:lineRule="exact"/>
        <w:rPr>
          <w:sz w:val="20"/>
          <w:szCs w:val="20"/>
          <w:color w:val="auto"/>
        </w:rPr>
      </w:pPr>
    </w:p>
    <w:p>
      <w:pPr>
        <w:ind w:left="120" w:right="380" w:firstLine="771"/>
        <w:spacing w:after="0" w:line="261" w:lineRule="auto"/>
        <w:rPr>
          <w:sz w:val="20"/>
          <w:szCs w:val="20"/>
          <w:color w:val="auto"/>
        </w:rPr>
      </w:pPr>
      <w:r>
        <w:rPr>
          <w:rFonts w:ascii="Times New Roman" w:cs="Times New Roman" w:eastAsia="Times New Roman" w:hAnsi="Times New Roman"/>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Jeffrey Capello (chair)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Rahul Ballal, Ph.D.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Maykin Ho, Ph.D.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April 1, 2026:</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57</w:t>
            </w:r>
          </w:p>
        </w:tc>
        <w:tc>
          <w:tcPr>
            <w:tcW w:w="44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Burns</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48</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w:t>
            </w: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Gheuens, M.D., Ph.D.</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47</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Medical Officer, Head of Research &amp; Development</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Tsveta Milanova</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5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Chief Commercial Officer</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Viswanadhan, Pharm.D.</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47</w:t>
            </w: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Corporate Development &amp; Strategy Officer</w:t>
            </w:r>
          </w:p>
        </w:tc>
      </w:tr>
    </w:tbl>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biography of Mr. Goff can be found under “Nominees for Election to the Board of Directors.”</w:t>
      </w:r>
    </w:p>
    <w:p>
      <w:pPr>
        <w:spacing w:after="0" w:line="264" w:lineRule="exact"/>
        <w:rPr>
          <w:sz w:val="20"/>
          <w:szCs w:val="20"/>
          <w:color w:val="auto"/>
        </w:rPr>
      </w:pPr>
    </w:p>
    <w:p>
      <w:pPr>
        <w:ind w:left="120" w:right="2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Burns </w:t>
      </w:r>
      <w:r>
        <w:rPr>
          <w:rFonts w:ascii="Times New Roman" w:cs="Times New Roman" w:eastAsia="Times New Roman" w:hAnsi="Times New Roman"/>
          <w:sz w:val="18"/>
          <w:szCs w:val="18"/>
          <w:color w:val="auto"/>
        </w:rPr>
        <w:t>has served as our chief legal officer since January 2022. Mr. Burns joined Agios in 2016 as a senior attorney and the first 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compliance, after which he served as Senior Vice President and General Counsel. Mr. Burns has more than 19 years of legal and compliance experience in the pharmaceutical industry. Prior to joining Agios, Mr. Burns held roles of increasing responsibility at EMD Serono Inc., a biotechnology company, culminating in his position as associate general counsel for commercial. Mr. Burns began his legal career as a corporate attorney at Testa, Hurwitz and Thibeault LLP and Goodwin Procter LLP. Mr. Burns holds a B.A. degree from Seton Hall University and a J.D. from Seton Hall University School of Law.</w:t>
      </w:r>
    </w:p>
    <w:p>
      <w:pPr>
        <w:spacing w:after="0" w:line="223" w:lineRule="exact"/>
        <w:rPr>
          <w:sz w:val="20"/>
          <w:szCs w:val="20"/>
          <w:color w:val="auto"/>
        </w:rPr>
      </w:pPr>
    </w:p>
    <w:p>
      <w:pPr>
        <w:ind w:left="120" w:right="420" w:firstLine="77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Cecilia Jones </w:t>
      </w:r>
      <w:r>
        <w:rPr>
          <w:rFonts w:ascii="Times New Roman" w:cs="Times New Roman" w:eastAsia="Times New Roman" w:hAnsi="Times New Roman"/>
          <w:sz w:val="17"/>
          <w:szCs w:val="17"/>
          <w:color w:val="auto"/>
        </w:rPr>
        <w:t>has served as our chief financial officer since September 2022. Prior to joining Agios, Ms. Jones served as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of LogicBio Therapeutics, Inc., or LogicBio, a gene therapy company, from January 2021 to September 2022. Prior to joining LogicBio,</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Ms. Jones worked at Biogen, where she held a variety of roles beginning in November 2010, most recently serving as Vice President, Finance from June 2019 until January 2021 and as Senior Director, Corporate Finance from July 2015 to June 2019. Before Biogen, Ms. Jones served in various roles in financial planning and analysis at Interactive Data Corporation, a financial market data company, and Genzyme Corporation (prior to its acquisition by Sanofi S.A.). Ms. Jones has an M.B.A. from the Harvard Business School and an economics degree from Universidad de San Andres in Buenos Aires, Argentina.</w:t>
      </w:r>
    </w:p>
    <w:p>
      <w:pPr>
        <w:spacing w:after="0" w:line="212" w:lineRule="exact"/>
        <w:rPr>
          <w:sz w:val="20"/>
          <w:szCs w:val="20"/>
          <w:color w:val="auto"/>
        </w:rPr>
      </w:pPr>
    </w:p>
    <w:p>
      <w:pPr>
        <w:ind w:left="120" w:right="80" w:firstLine="77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Sarah Gheuens, M.D., Ph.D. </w:t>
      </w:r>
      <w:r>
        <w:rPr>
          <w:rFonts w:ascii="Times New Roman" w:cs="Times New Roman" w:eastAsia="Times New Roman" w:hAnsi="Times New Roman"/>
          <w:sz w:val="18"/>
          <w:szCs w:val="18"/>
          <w:color w:val="auto"/>
        </w:rPr>
        <w:t>has served as our chief medical officer since September 2021 and as head of research &amp; development since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She joined the company in December 2019, and prior to her appointment as chief medical officer, she served as head of clinical development for our genetically defined disease programs and as interim head of regulatory affairs. Prior to joining Agios, Dr. Gheuens worked at Biogen from 2012 to 2019, where she held roles of increasing responsibility in safety, medical affairs and clinical development. Before joining Biogen, Dr. Gheuens worked at Beth Israel Deaconess Medical Center, or BIDMC, a hospital, from 2008 to 2012, taking care of patients with HIV and neurological complications and doing research on progressive multifocal leukoencephalopathy. Dr. Gheuens serves on the board of directors and on the science and technology committee of Viridian Therapeutics, Inc., a publicly traded biotechnology company. Dr. Gheuens received her medical degree from the Free University of Brussels (VUB), Belgium, and completed her neurology residency at the University Hospital of the Free University of Brussels, Belgium, followed by an HIV/neurology fellowship at BIDMC. She also holds a Ph.D. in Medical Sciences from the University of Antwerp, Belgium, and a Master’s in Medical Sciences from Harvard Medical School.</w:t>
      </w:r>
    </w:p>
    <w:p>
      <w:pPr>
        <w:spacing w:after="0" w:line="226" w:lineRule="exact"/>
        <w:rPr>
          <w:sz w:val="20"/>
          <w:szCs w:val="20"/>
          <w:color w:val="auto"/>
        </w:rPr>
      </w:pPr>
    </w:p>
    <w:p>
      <w:pPr>
        <w:ind w:left="120" w:right="4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Tsveta Milanova </w:t>
      </w:r>
      <w:r>
        <w:rPr>
          <w:rFonts w:ascii="Times New Roman" w:cs="Times New Roman" w:eastAsia="Times New Roman" w:hAnsi="Times New Roman"/>
          <w:sz w:val="18"/>
          <w:szCs w:val="18"/>
          <w:color w:val="auto"/>
        </w:rPr>
        <w:t>has served as our chief commercial officer since January 2023. Prior to joining Agios, Ms. Milanova served as SVP, 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Commercial of Alexion from December 2020 to September 2022, as SVP, Head of Global Commercial Strategy of Alexion from January 2019 to December 2020 and SVP, Head of Global Value, Access &amp; Policy of Alexion from April 2018 to December 2018. Prior to joining Alexion,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Ms. Milanova worked at Celgene from October 2008 to April 2018, where she held a variety of roles, most recently as Global Head, Pricing and Market Access Haematology/Oncology. Before Celgene, Ms. Milanova served as Global Health Outcomes Manager at GlaxoSmithKline R&amp;D, a healthcare company, from October 2004 to October 2008. Ms. Milanova holds a master of science (MSc) degree in international health policy and health economics from the London School of Economics, a master of science (MSc) degree in pharmacy from the Medical University of Sofia, Bulgaria and is a graduate of Harvard’s Advanced Management Program.</w:t>
      </w:r>
    </w:p>
    <w:p>
      <w:pPr>
        <w:spacing w:after="0" w:line="208"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Krishnan Viswanadhan, Pharm.D. </w:t>
      </w:r>
      <w:r>
        <w:rPr>
          <w:rFonts w:ascii="Times New Roman" w:cs="Times New Roman" w:eastAsia="Times New Roman" w:hAnsi="Times New Roman"/>
          <w:sz w:val="18"/>
          <w:szCs w:val="18"/>
          <w:color w:val="auto"/>
        </w:rPr>
        <w:t>has served as our chief corporate development &amp; strategy officer since March 2025. Prior to joining Agios,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Viswanadhan served as president and chief operating officer at Be Biopharma, a private biotechnology company, from 2021 to 2025. Prior to joining Be Biopharma, from 2019 to 2021 Dr. Viswanadhan was Senior Vice President, Global Cell Therapy at BMS, in which role he oversaw the teams responsible for the development, approval, and life cycle management of Breyanzi, a CD19 CAR T and Abecma, the first BCMA CAR T therapy. Before that, Dr. Viswanadhan was Vice President, Business Development and Global Alliances at Celgene, responsible for managing the portfolio of partnerships and equity investments. Prior to Celgene, he had roles in large and small companies in regulatory strategy. Dr. Viswanadhan serves on the board of directors of Multiply Labs, a private health technology company. Dr. Viswanadhan is a registered pharmacist and earned a Pharm.D from Rutgers University and an MBA from Cornell University.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70"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Our compensation &amp; people committee is responsible for reviewing and approving, or recommending for approval by the board of directors, the compensation of our named executive officers, or NEOs, including salary, cash and equity incentive compensation levels, severance arrangements, change in control benefits and other forms of executive compensation. This committee is also responsible for evaluating our company’s performance against its goals and making related recommendations to our board of directors, assessing the performance of our NEOs, and ensuring our compensation program is aligned with the objectives described below and competitive with those of other companies in our industry that compete with us for talent. This section discusses the principles underlying our compensation &amp; people committee’s policies and decisions with respect to the compensation of our NEOs.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NEOs for 2025 were as follows:</w:t>
      </w:r>
    </w:p>
    <w:p>
      <w:pPr>
        <w:spacing w:after="0" w:line="306" w:lineRule="exact"/>
        <w:rPr>
          <w:sz w:val="20"/>
          <w:szCs w:val="20"/>
          <w:color w:val="auto"/>
        </w:rPr>
      </w:pPr>
    </w:p>
    <w:p>
      <w:pPr>
        <w:ind w:left="1540" w:hanging="331"/>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Goff, our chief executive officer;</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Cecilia Jones, our chief financial officer;</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Burns, our chief legal officer;</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Sarah Gheuens, M.D., Ph.D., our chief medical officer, head of research &amp; development;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Krishnan Viswanadhan, Pharm.D, our chief corporate development &amp; strategy officer.</w:t>
      </w:r>
    </w:p>
    <w:p>
      <w:pPr>
        <w:spacing w:after="0" w:line="2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Say-on-Pay Vote Support and Stockholder Engagement</w:t>
      </w:r>
    </w:p>
    <w:p>
      <w:pPr>
        <w:spacing w:after="0" w:line="254" w:lineRule="exact"/>
        <w:rPr>
          <w:sz w:val="20"/>
          <w:szCs w:val="20"/>
          <w:color w:val="auto"/>
        </w:rPr>
      </w:pPr>
    </w:p>
    <w:p>
      <w:pPr>
        <w:ind w:left="120" w:right="20" w:firstLine="771"/>
        <w:spacing w:after="0" w:line="255" w:lineRule="auto"/>
        <w:rPr>
          <w:sz w:val="20"/>
          <w:szCs w:val="20"/>
          <w:color w:val="auto"/>
        </w:rPr>
      </w:pPr>
      <w:r>
        <w:rPr>
          <w:rFonts w:ascii="Times New Roman" w:cs="Times New Roman" w:eastAsia="Times New Roman" w:hAnsi="Times New Roman"/>
          <w:sz w:val="18"/>
          <w:szCs w:val="18"/>
          <w:color w:val="auto"/>
        </w:rPr>
        <w:t>At our 2025 annual meeting of stockholders, we conducted a non-binding advisory vote on the compensation of our NEOs, commonly referred to as a “say-on-pay” vote, in accordance with the Dodd-Frank Wall Street Reform and Consumer Protection Act of 2010. Approximately 94% of the votes cast by stockholders on this proposal, excluding broker non-votes, were cast in support of the compensation paid to our named executive officers in 2024. While this vote is a non-binding advisory vote, our compensation &amp; people committee and board of directors take the voting results into account in determining the compensation of our NEOs. In light of the strong level of support evidenced by last year’s say-on-pay vote, among other factors, our compensation &amp; people committee decided to maintain our general approach to executive compensation and made no significant changes to our executive compensation program in 2025.</w:t>
      </w:r>
    </w:p>
    <w:p>
      <w:pPr>
        <w:spacing w:after="0" w:line="229" w:lineRule="exact"/>
        <w:rPr>
          <w:sz w:val="20"/>
          <w:szCs w:val="20"/>
          <w:color w:val="auto"/>
        </w:rPr>
      </w:pPr>
    </w:p>
    <w:p>
      <w:pPr>
        <w:ind w:left="120" w:right="300" w:firstLine="771"/>
        <w:spacing w:after="0" w:line="266" w:lineRule="auto"/>
        <w:rPr>
          <w:sz w:val="20"/>
          <w:szCs w:val="20"/>
          <w:color w:val="auto"/>
        </w:rPr>
      </w:pPr>
      <w:r>
        <w:rPr>
          <w:rFonts w:ascii="Times New Roman" w:cs="Times New Roman" w:eastAsia="Times New Roman" w:hAnsi="Times New Roman"/>
          <w:sz w:val="18"/>
          <w:szCs w:val="18"/>
          <w:color w:val="auto"/>
        </w:rPr>
        <w:t>Our compensation &amp; people committee and board of directors will continue to consider stockholder input and monitor our executive compensation program to ensure it aligns the interests of our executive officers with the interests of our stockholders and adequately addresses input from our stockholders.</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2025 Highlights</w:t>
      </w:r>
    </w:p>
    <w:p>
      <w:pPr>
        <w:spacing w:after="0" w:line="268" w:lineRule="exact"/>
        <w:rPr>
          <w:sz w:val="20"/>
          <w:szCs w:val="20"/>
          <w:color w:val="auto"/>
        </w:rPr>
      </w:pPr>
    </w:p>
    <w:p>
      <w:pPr>
        <w:ind w:left="120" w:right="80" w:firstLine="771"/>
        <w:spacing w:after="0" w:line="216" w:lineRule="auto"/>
        <w:rPr>
          <w:sz w:val="20"/>
          <w:szCs w:val="20"/>
          <w:color w:val="auto"/>
        </w:rPr>
      </w:pPr>
      <w:r>
        <w:rPr>
          <w:rFonts w:ascii="Times New Roman" w:cs="Times New Roman" w:eastAsia="Times New Roman" w:hAnsi="Times New Roman"/>
          <w:sz w:val="18"/>
          <w:szCs w:val="18"/>
          <w:color w:val="auto"/>
        </w:rPr>
        <w:t>Agios advanced strategic priorities across our portfolio in 2025. We achieved several key milestones for our mitapivat franchise. The year came to a close with the approval of mitapivat under the brand name AQVESME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the U.S. Food and Drug Administration, or FDA, in December 2025, the only FDA-approved medicine to treat anemia in adults with non-transfusion dependent and transfusion-dependent alpha- or beta-thalassemia. We commercially launched AQVESME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in late January 2026. In connection with this submission, we also implemented a Risk Evaluation and Mitigation Strategy program to mitigate the risk of</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21" w:lineRule="auto"/>
        <w:rPr>
          <w:sz w:val="20"/>
          <w:szCs w:val="20"/>
          <w:color w:val="auto"/>
        </w:rPr>
      </w:pPr>
      <w:r>
        <w:rPr>
          <w:rFonts w:ascii="Times New Roman" w:cs="Times New Roman" w:eastAsia="Times New Roman" w:hAnsi="Times New Roman"/>
          <w:sz w:val="18"/>
          <w:szCs w:val="18"/>
          <w:color w:val="auto"/>
        </w:rPr>
        <w:t>hepatocellular injury in response to FDA feedback received late in the review cycle. Outside of the United States, the Committee for Medicinal Products for Human Use, or CHMP, of the European Medicines Agency adopted a positive opinion for the new indication for mitapivat under the brand name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adults for the treatment of anemia associated with transfusion-dependent and non-transfusion-dependent alpha- or beta-thalassemia. The European Commission is reviewing the CHMP’s opinion, with the final decision expected in early 2026. Finally, in August 2025, the Saudi Food and Drug Authority approved mitapivat under the brand name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treatment of adults with non-transfusion dependent and transfusion-dependent alpha- or beta-thalassemia, the first ever Saudi approval of a drug ahead of any other major regulatory body elsewhere.</w:t>
      </w:r>
    </w:p>
    <w:p>
      <w:pPr>
        <w:spacing w:after="0" w:line="226" w:lineRule="exact"/>
        <w:rPr>
          <w:sz w:val="20"/>
          <w:szCs w:val="20"/>
          <w:color w:val="auto"/>
        </w:rPr>
      </w:pPr>
    </w:p>
    <w:p>
      <w:pPr>
        <w:ind w:left="120" w:firstLine="771"/>
        <w:spacing w:after="0" w:line="238" w:lineRule="auto"/>
        <w:rPr>
          <w:sz w:val="20"/>
          <w:szCs w:val="20"/>
          <w:color w:val="auto"/>
        </w:rPr>
      </w:pPr>
      <w:r>
        <w:rPr>
          <w:rFonts w:ascii="Times New Roman" w:cs="Times New Roman" w:eastAsia="Times New Roman" w:hAnsi="Times New Roman"/>
          <w:sz w:val="18"/>
          <w:szCs w:val="18"/>
          <w:color w:val="auto"/>
        </w:rPr>
        <w:t>We also continued to advance mitapivat in SCD and PK deficiency. In November 2025, we reported topline data from the phase 3 portion of RISE UP, a phase 2/3 study evaluating the efficacy and safety of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SCD patients 16 years of age or older, which met its primary endpoint of hemoglobin response and key secondary endpoints of change from baseline in hemoglobin concentration and change from baseline in indirect bilirubin. While the phase 3 portion of the trial also showed a reduction in its second primary endpoint of annualized rate of sickle cell pain crises compared to placebo, this trend did not achieve statistical significance. In March 2026, we announced that we plan to submit a supplemental New Drug Application, or sNDA, for mitapivat in SCD for accelerated approval, based on FDA feedback received following a pre-sNDA meeting, and we have submitted a proposal for the confirmatory clinical trial required in connection with the filing. With respect to PK deficiency, in February 2025, we reported positive topline data from ACTIVATE-kids, our double-blind phase 3 study evaluating the efficacy and safety of mitapivat as a potential treatment for PK deficiency in patients between one and 18 years old who are not regularly transfused. During 2025, we also continued to make progress in commercializing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PK deficiency in the United States and across the world, recording $54.0 million in total worldwide revenue for the year ended December 31, 2025, reflecting strong growth year-over-year, compared to $36.5 million for the year ended December 31, 2024. To support these efforts, in June 2025, we entered into a distribution agreement with Avanzanite Bioscience B.V., or Avanzanite, pursuant to which we granted Avanzanite the right to commercialize PYRUKYND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European Economic Area, Switzerland and the United Kingdom.</w:t>
      </w:r>
    </w:p>
    <w:p>
      <w:pPr>
        <w:spacing w:after="0" w:line="122" w:lineRule="exact"/>
        <w:rPr>
          <w:sz w:val="20"/>
          <w:szCs w:val="20"/>
          <w:color w:val="auto"/>
        </w:rPr>
      </w:pPr>
    </w:p>
    <w:p>
      <w:pPr>
        <w:ind w:left="120" w:right="40" w:firstLine="771"/>
        <w:spacing w:after="0" w:line="258" w:lineRule="auto"/>
        <w:rPr>
          <w:sz w:val="20"/>
          <w:szCs w:val="20"/>
          <w:color w:val="auto"/>
        </w:rPr>
      </w:pPr>
      <w:r>
        <w:rPr>
          <w:rFonts w:ascii="Times New Roman" w:cs="Times New Roman" w:eastAsia="Times New Roman" w:hAnsi="Times New Roman"/>
          <w:sz w:val="18"/>
          <w:szCs w:val="18"/>
          <w:color w:val="auto"/>
        </w:rPr>
        <w:t>In addition to the above achievements, we continued to advance our pipeline across our portfolio. With respect to tebapivat, our novel PK activator, we completed patient enrollment in both our phase 2b study in patients with LR MDS and our phase 2 study in patients with SCD. In addition, we completed our phase 1 healthy volunteer study of AG-181, our phenylalanine hydroxylase stabilizer, for the treatment of phenylketonuria, and initiated a phase 1 healthy volunteer study of AG-236, an siRNA targeting the transmembrane serine protease 6 gene, or TMPRSS6, intended for the treatment of polycythemia vera, or PV.</w:t>
      </w:r>
    </w:p>
    <w:p>
      <w:pPr>
        <w:spacing w:after="0" w:line="224" w:lineRule="exact"/>
        <w:rPr>
          <w:sz w:val="20"/>
          <w:szCs w:val="20"/>
          <w:color w:val="auto"/>
        </w:rPr>
      </w:pPr>
    </w:p>
    <w:p>
      <w:pPr>
        <w:ind w:left="120" w:right="360" w:firstLine="771"/>
        <w:spacing w:after="0" w:line="266" w:lineRule="auto"/>
        <w:rPr>
          <w:sz w:val="20"/>
          <w:szCs w:val="20"/>
          <w:color w:val="auto"/>
        </w:rPr>
      </w:pPr>
      <w:r>
        <w:rPr>
          <w:rFonts w:ascii="Times New Roman" w:cs="Times New Roman" w:eastAsia="Times New Roman" w:hAnsi="Times New Roman"/>
          <w:sz w:val="18"/>
          <w:szCs w:val="18"/>
          <w:color w:val="auto"/>
        </w:rPr>
        <w:t>To support this continued execution against our strategic priorities, we appointed Krishnan Viswanadhan, Pharm.D as our chief corporate development &amp; strategy officer effective March 5, 2025. During 2025 we also continued to refresh our board of directors, adding a new non-employee director, Dr. Jay Backstrom, following the departure of long-tenured director Dr. David Schenkein.</w:t>
      </w:r>
    </w:p>
    <w:p>
      <w:pPr>
        <w:spacing w:after="0" w:line="203" w:lineRule="exact"/>
        <w:rPr>
          <w:sz w:val="20"/>
          <w:szCs w:val="20"/>
          <w:color w:val="auto"/>
        </w:rPr>
      </w:pPr>
    </w:p>
    <w:p>
      <w:pPr>
        <w:ind w:left="120" w:right="380" w:firstLine="771"/>
        <w:spacing w:after="0" w:line="289" w:lineRule="auto"/>
        <w:rPr>
          <w:sz w:val="20"/>
          <w:szCs w:val="20"/>
          <w:color w:val="auto"/>
        </w:rPr>
      </w:pPr>
      <w:r>
        <w:rPr>
          <w:rFonts w:ascii="Times New Roman" w:cs="Times New Roman" w:eastAsia="Times New Roman" w:hAnsi="Times New Roman"/>
          <w:sz w:val="17"/>
          <w:szCs w:val="17"/>
          <w:color w:val="auto"/>
        </w:rPr>
        <w:t>In addition to the above achievements, we attracted, retained and fostered the development of our high caliber team and strengthened our company culture of inclusion. We exercised financial discipline by managing our cash spending in line with our board-approved budget, thereby maintaining our balance sheet strength to continue to maintain the financial positioning of the company in challenging macroeconomic conditions.</w:t>
      </w:r>
    </w:p>
    <w:p>
      <w:pPr>
        <w:spacing w:after="0" w:line="198" w:lineRule="exact"/>
        <w:rPr>
          <w:sz w:val="20"/>
          <w:szCs w:val="20"/>
          <w:color w:val="auto"/>
        </w:rPr>
      </w:pPr>
    </w:p>
    <w:p>
      <w:pPr>
        <w:ind w:left="120" w:right="180" w:firstLine="771"/>
        <w:spacing w:after="0" w:line="261" w:lineRule="auto"/>
        <w:rPr>
          <w:sz w:val="20"/>
          <w:szCs w:val="20"/>
          <w:color w:val="auto"/>
        </w:rPr>
      </w:pPr>
      <w:r>
        <w:rPr>
          <w:rFonts w:ascii="Times New Roman" w:cs="Times New Roman" w:eastAsia="Times New Roman" w:hAnsi="Times New Roman"/>
          <w:sz w:val="18"/>
          <w:szCs w:val="18"/>
          <w:color w:val="auto"/>
        </w:rPr>
        <w:t>Based upon an evaluation of our performance against each of our goals for 2025 and the weighting assigned to each, the board of directors determined, upon recommendation from the compensation &amp; people committee, that, with respect to our annual performance-based cash incentive program, we achieved an overall result of 100% for the year. For more information with respect to our performance-based cash incentive program, see “</w:t>
      </w:r>
      <w:r>
        <w:rPr>
          <w:rFonts w:ascii="Times New Roman" w:cs="Times New Roman" w:eastAsia="Times New Roman" w:hAnsi="Times New Roman"/>
          <w:sz w:val="18"/>
          <w:szCs w:val="18"/>
          <w:i w:val="1"/>
          <w:iCs w:val="1"/>
          <w:color w:val="auto"/>
        </w:rPr>
        <w:t>Executive Compensation Elements–Annual Performance-based Cash Incentives</w:t>
      </w:r>
      <w:r>
        <w:rPr>
          <w:rFonts w:ascii="Times New Roman" w:cs="Times New Roman" w:eastAsia="Times New Roman" w:hAnsi="Times New Roman"/>
          <w:sz w:val="18"/>
          <w:szCs w:val="18"/>
          <w:color w:val="auto"/>
        </w:rPr>
        <w:t>”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Executive Compensation Overview</w:t>
      </w:r>
    </w:p>
    <w:p>
      <w:pPr>
        <w:spacing w:after="0" w:line="254" w:lineRule="exact"/>
        <w:rPr>
          <w:sz w:val="20"/>
          <w:szCs w:val="20"/>
          <w:color w:val="auto"/>
        </w:rPr>
      </w:pPr>
    </w:p>
    <w:p>
      <w:pPr>
        <w:ind w:left="120" w:right="40" w:firstLine="771"/>
        <w:spacing w:after="0" w:line="254" w:lineRule="auto"/>
        <w:rPr>
          <w:sz w:val="20"/>
          <w:szCs w:val="20"/>
          <w:color w:val="auto"/>
        </w:rPr>
      </w:pPr>
      <w:r>
        <w:rPr>
          <w:rFonts w:ascii="Times New Roman" w:cs="Times New Roman" w:eastAsia="Times New Roman" w:hAnsi="Times New Roman"/>
          <w:sz w:val="18"/>
          <w:szCs w:val="18"/>
          <w:color w:val="auto"/>
        </w:rPr>
        <w:t>To foster the future success of the company, we reward our executives in a manner that reinforces our pay-for-performance philosophy and culture. Our compensation &amp; people committee is committed to ensuring that a substantial portion of executive compensation is “at-risk” and variable. As such, 89% of Mr. Goff’s total direct compensation for 2025 and, on average, 78% of total target direct compensation for 2025 for our other NEOs (excluding Dr. Viswanadhan, who joined the company during 2025 and whose new hire equity grants in 2025 were not representative of our annual compensation philosophy for executive officers and also excluding the supplemental grants made to Ms. Jones and Mr. Burns in February 2025, which are described below under “</w:t>
      </w:r>
      <w:r>
        <w:rPr>
          <w:rFonts w:ascii="Times New Roman" w:cs="Times New Roman" w:eastAsia="Times New Roman" w:hAnsi="Times New Roman"/>
          <w:sz w:val="18"/>
          <w:szCs w:val="18"/>
          <w:i w:val="1"/>
          <w:iCs w:val="1"/>
          <w:color w:val="auto"/>
        </w:rPr>
        <w:t>Supplemental 2025 Equity Grants</w:t>
      </w:r>
      <w:r>
        <w:rPr>
          <w:rFonts w:ascii="Times New Roman" w:cs="Times New Roman" w:eastAsia="Times New Roman" w:hAnsi="Times New Roman"/>
          <w:sz w:val="18"/>
          <w:szCs w:val="18"/>
          <w:color w:val="auto"/>
        </w:rPr>
        <w:t>”) is at-risk and directly affected by both the company’s and each NEO’s performance. While we do not have a formal or informal policy for allocating between long-term and short-term compensation, between cash and non-cash compensation or among different forms of non-cash compensation, we generally strive to provide our NEOs with a balance of short-term and long-term incentives and a mix of cash and non-cash compensation to encourage consistently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148590</wp:posOffset>
            </wp:positionV>
            <wp:extent cx="5194935" cy="1903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949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In February 2025, the compensation &amp; people committee approved 2025 base salaries, 2024 performance-based cash incentive awards and annual stock option, restricted stock unit, or RSU, and PSU awards for our NEOs, other than Mr. Goff and Dr. Viswanadhan (who began employment in March 2025, received new-hire equity grants in March 2025 and was only granted an annual PSU award as part of the 2025 executive compensation cycle). Upon the recommendation of our compensation &amp; people committee, in February 2025, our board of directors approved the 2025 base salary, 2024 performance-based cash incentive award and annual stock option, RSU and PSU awards for Mr. Goff. In December 2024, our compensation &amp; people committee approved the 2025 base salary, target 2025 performance-based cash incentive award, new hire equity awards (consisting of options, RSUs and PSUs) and sign-on bonus for Dr. Viswanadhan, who was appointed our chief corporate development &amp; strategy officer effective March 5, 2025.</w:t>
      </w:r>
    </w:p>
    <w:p>
      <w:pPr>
        <w:spacing w:after="0" w:line="219" w:lineRule="exact"/>
        <w:rPr>
          <w:sz w:val="20"/>
          <w:szCs w:val="20"/>
          <w:color w:val="auto"/>
        </w:rPr>
      </w:pPr>
    </w:p>
    <w:p>
      <w:pPr>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 xml:space="preserve">In February 2026, the compensation &amp; people committee approved 2026 base salaries, 2025 performance-based cash incentive awards and annual stock option, RSU and PSU awards for our NEOs, other than for Mr. Goff. Upon the recommendation of our compensation &amp; people committee, in February 2026, our board of directors approved the 2026 base salary, 2025 performance-based cash incentive award and annual stock option, RSU and PSU awards for Mr. Goff. See the section entitled </w:t>
      </w:r>
      <w:r>
        <w:rPr>
          <w:rFonts w:ascii="Times New Roman" w:cs="Times New Roman" w:eastAsia="Times New Roman" w:hAnsi="Times New Roman"/>
          <w:sz w:val="18"/>
          <w:szCs w:val="18"/>
          <w:i w:val="1"/>
          <w:iCs w:val="1"/>
          <w:color w:val="auto"/>
        </w:rPr>
        <w:t>“—2026 Executive Compensation Decisions</w:t>
      </w:r>
      <w:r>
        <w:rPr>
          <w:rFonts w:ascii="Times New Roman" w:cs="Times New Roman" w:eastAsia="Times New Roman" w:hAnsi="Times New Roman"/>
          <w:sz w:val="18"/>
          <w:szCs w:val="18"/>
          <w:color w:val="auto"/>
        </w:rPr>
        <w:t>” for more information regarding the 2026 compensation of our NEOs.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8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771"/>
        <w:spacing w:after="0" w:line="282" w:lineRule="auto"/>
        <w:rPr>
          <w:sz w:val="20"/>
          <w:szCs w:val="20"/>
          <w:color w:val="auto"/>
        </w:rPr>
      </w:pPr>
      <w:r>
        <w:rPr>
          <w:rFonts w:ascii="Times New Roman" w:cs="Times New Roman" w:eastAsia="Times New Roman" w:hAnsi="Times New Roman"/>
          <w:sz w:val="18"/>
          <w:szCs w:val="18"/>
          <w:color w:val="auto"/>
        </w:rPr>
        <w:t>We have developed and periodically reassess our executive compensation program to align with current governance and best practices while ensuring our ability to achieve our stated objectives and philosophy and support our ambitious business goals: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6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0" w:type="dxa"/>
            <w:vAlign w:val="bottom"/>
          </w:tcPr>
          <w:p>
            <w:pPr>
              <w:spacing w:after="0"/>
              <w:rPr>
                <w:sz w:val="1"/>
                <w:szCs w:val="1"/>
                <w:color w:val="auto"/>
              </w:rPr>
            </w:pPr>
          </w:p>
        </w:tc>
      </w:tr>
      <w:tr>
        <w:trPr>
          <w:trHeight w:val="279"/>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an industry-specific peer group for benchmarking pay</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Allow hedging or pledging of equity</w:t>
            </w:r>
          </w:p>
        </w:tc>
        <w:tc>
          <w:tcPr>
            <w:tcW w:w="0" w:type="dxa"/>
            <w:vAlign w:val="bottom"/>
          </w:tcPr>
          <w:p>
            <w:pPr>
              <w:spacing w:after="0"/>
              <w:rPr>
                <w:sz w:val="1"/>
                <w:szCs w:val="1"/>
                <w:color w:val="auto"/>
              </w:rPr>
            </w:pPr>
          </w:p>
        </w:tc>
      </w:tr>
      <w:tr>
        <w:trPr>
          <w:trHeight w:val="303"/>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Target pay based on market norms</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Re-price stock options</w:t>
            </w:r>
          </w:p>
        </w:tc>
        <w:tc>
          <w:tcPr>
            <w:tcW w:w="0" w:type="dxa"/>
            <w:vAlign w:val="bottom"/>
          </w:tcPr>
          <w:p>
            <w:pPr>
              <w:spacing w:after="0"/>
              <w:rPr>
                <w:sz w:val="1"/>
                <w:szCs w:val="1"/>
                <w:color w:val="auto"/>
              </w:rPr>
            </w:pPr>
          </w:p>
        </w:tc>
      </w:tr>
      <w:tr>
        <w:trPr>
          <w:trHeight w:val="291"/>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Deliver executive compensation primarily through performance-based</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Offer perquisites or personal benefits beyond limited perquisites</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new hires</w:t>
            </w:r>
          </w:p>
        </w:tc>
        <w:tc>
          <w:tcPr>
            <w:tcW w:w="0" w:type="dxa"/>
            <w:vAlign w:val="bottom"/>
          </w:tcPr>
          <w:p>
            <w:pPr>
              <w:spacing w:after="0"/>
              <w:rPr>
                <w:sz w:val="1"/>
                <w:szCs w:val="1"/>
                <w:color w:val="auto"/>
              </w:rPr>
            </w:pPr>
          </w:p>
        </w:tc>
      </w:tr>
      <w:tr>
        <w:trPr>
          <w:trHeight w:val="365"/>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challenging short- and long-term incentive award goals</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Provide supplemental executive retirement plans</w:t>
            </w:r>
          </w:p>
        </w:tc>
        <w:tc>
          <w:tcPr>
            <w:tcW w:w="0" w:type="dxa"/>
            <w:vAlign w:val="bottom"/>
          </w:tcPr>
          <w:p>
            <w:pPr>
              <w:spacing w:after="0"/>
              <w:rPr>
                <w:sz w:val="1"/>
                <w:szCs w:val="1"/>
                <w:color w:val="auto"/>
              </w:rPr>
            </w:pPr>
          </w:p>
        </w:tc>
      </w:tr>
      <w:tr>
        <w:trPr>
          <w:trHeight w:val="291"/>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Cap annual performance-based cash incentive program payouts at 150%</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Provide tax gross ups</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the target payout level</w:t>
            </w: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Offer single-trigger cash severance</w:t>
            </w: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4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62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clawback policy for equity and incentive compensation</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70"/>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Provide dividend equivalents on unvested equity awards</w:t>
            </w:r>
          </w:p>
        </w:tc>
        <w:tc>
          <w:tcPr>
            <w:tcW w:w="0" w:type="dxa"/>
            <w:vAlign w:val="bottom"/>
          </w:tcPr>
          <w:p>
            <w:pPr>
              <w:spacing w:after="0"/>
              <w:rPr>
                <w:sz w:val="1"/>
                <w:szCs w:val="1"/>
                <w:color w:val="auto"/>
              </w:rPr>
            </w:pPr>
          </w:p>
        </w:tc>
      </w:tr>
      <w:tr>
        <w:trPr>
          <w:trHeight w:val="257"/>
        </w:trPr>
        <w:tc>
          <w:tcPr>
            <w:tcW w:w="56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Require minimum levels of stock ownership by executives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Offer market-competitive benefits for executives that are consistent with</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rest of our employees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Consult with an independent advisor on compensation levels and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practices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Annually assess risk of compensation policies, practices and programs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Compensation Objectives and Philosophy</w:t>
      </w:r>
    </w:p>
    <w:p>
      <w:pPr>
        <w:spacing w:after="0" w:line="268" w:lineRule="exact"/>
        <w:rPr>
          <w:sz w:val="20"/>
          <w:szCs w:val="20"/>
          <w:color w:val="auto"/>
        </w:rPr>
      </w:pPr>
    </w:p>
    <w:p>
      <w:pPr>
        <w:ind w:left="120" w:right="180" w:firstLine="771"/>
        <w:spacing w:after="0" w:line="261" w:lineRule="auto"/>
        <w:rPr>
          <w:sz w:val="20"/>
          <w:szCs w:val="20"/>
          <w:color w:val="auto"/>
        </w:rPr>
      </w:pPr>
      <w:r>
        <w:rPr>
          <w:rFonts w:ascii="Times New Roman" w:cs="Times New Roman" w:eastAsia="Times New Roman" w:hAnsi="Times New Roman"/>
          <w:sz w:val="18"/>
          <w:szCs w:val="18"/>
          <w:color w:val="auto"/>
        </w:rPr>
        <w:t>Our mission is to develop and deliver transformative therapies for patients living with rare diseases. Our compensation &amp; people committee believes that the most effective compensation program is one that rewards sustainable value creation for stockholders, through the delivery of strong company performance, as well as tangible progress toward achieving our mission to improve the lives of patients. The objectives of our compensation program are to:</w:t>
      </w:r>
    </w:p>
    <w:p>
      <w:pPr>
        <w:spacing w:after="0" w:line="261" w:lineRule="exact"/>
        <w:rPr>
          <w:sz w:val="20"/>
          <w:szCs w:val="20"/>
          <w:color w:val="auto"/>
        </w:rPr>
      </w:pPr>
    </w:p>
    <w:p>
      <w:pPr>
        <w:ind w:left="1540" w:right="140" w:hanging="331"/>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superior executives and other employees with outstanding skills and values who contribute to our short- and long-term success;</w:t>
      </w:r>
    </w:p>
    <w:p>
      <w:pPr>
        <w:spacing w:after="0" w:line="242"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that motivate and reward the achievement of performance goals that directly correlate to the enhancement of stockholder value, as well as to facilitate executive retention; and</w:t>
      </w:r>
    </w:p>
    <w:p>
      <w:pPr>
        <w:spacing w:after="0" w:line="242"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those of stockholders by rewarding the achievement of short- and long-term strategic and financial goals, which we believe serves to enhance short- and long-term value creation for our stockholders.</w:t>
      </w:r>
    </w:p>
    <w:p>
      <w:pPr>
        <w:spacing w:after="0" w:line="202" w:lineRule="exact"/>
        <w:rPr>
          <w:sz w:val="20"/>
          <w:szCs w:val="20"/>
          <w:color w:val="auto"/>
        </w:rPr>
      </w:pPr>
    </w:p>
    <w:p>
      <w:pPr>
        <w:ind w:left="120" w:right="100" w:firstLine="771"/>
        <w:spacing w:after="0" w:line="266" w:lineRule="auto"/>
        <w:rPr>
          <w:sz w:val="20"/>
          <w:szCs w:val="20"/>
          <w:color w:val="auto"/>
        </w:rPr>
      </w:pPr>
      <w:r>
        <w:rPr>
          <w:rFonts w:ascii="Times New Roman" w:cs="Times New Roman" w:eastAsia="Times New Roman" w:hAnsi="Times New Roman"/>
          <w:sz w:val="18"/>
          <w:szCs w:val="18"/>
          <w:color w:val="auto"/>
        </w:rPr>
        <w:t>To achieve its objectives, our compensation &amp; people committee evaluates our executive compensation program with the goal of setting total compensation at levels that align with our culture, total rewards strategy, size, life stage and industry peers. Specifically, our compensation &amp; people committee uses competitive market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compensation data from an annual total compensation study of peer companies to inform its decisions about base salary and variable compensation as part of its review of overall compensation opportunities and the specific elements of our compensation program. The compensation &amp; people committee uses multiple reference points when establishing target compensation levels and considers not only competitive market data to establish targeted pay levels but also factors such as company and individual performance, scope of responsibility, critical needs and skill sets, leadership potential and succession planning. The compensation &amp; people committee also evaluates the compensation programs of other companies which, while not in our peer group, have similar characteristics with regard to business model, complexity and sophistication.</w:t>
      </w:r>
    </w:p>
    <w:p>
      <w:pPr>
        <w:spacing w:after="0" w:line="214"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17"/>
          <w:szCs w:val="17"/>
          <w:color w:val="auto"/>
        </w:rPr>
        <w:t>In addition, our executives also receive a significant portion of their executive compensation in the form of long-term equity incentive compensation through the grants of stock options and RSUs that vest over time, and PSUs that vest upon the achievement of specified corporate milestones. We believe our long-term incentive awards facilitate retention and align the interests of our NEOs with those of our stockholders by allowing them to participate in the longer-term success of our company and the intended appreciation of our stock price. Aligned with the objectives described above, our compensation &amp; people committee also considers a number of factors when comparing to our peers in determining equity incentive compensation for our NEOs, including annual long-term incentive values, annual equity awards expressed as a percentage of total shares outstanding, total annual and cumulative dilution, the retentive value of outstanding awards and total equity ownership. Given the dynamic biopharmaceutical market, the compensation &amp; people committee does not overemphasize any one factor. Rather, the compensation &amp; people committee takes a holistic view, further considering the achievement of company goals and how that impacts total stockholder return, as well as market data of our peer group, when determining actual award levels for the NEOs. We believe that designing our overall compensation program in this manner is necessary and appropriate to attract and retain the quality of talent we need to successfully grow our business, achieve our challenging goals, sustain strong performance, and differentiate ourselves from those companies against which we compete for talent while ensuring pay-for-performance alignment.</w:t>
      </w:r>
    </w:p>
    <w:p>
      <w:pPr>
        <w:spacing w:after="0" w:line="2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Overview of Executive Compensation Process</w:t>
      </w:r>
    </w:p>
    <w:p>
      <w:pPr>
        <w:spacing w:after="0" w:line="268" w:lineRule="exact"/>
        <w:rPr>
          <w:sz w:val="20"/>
          <w:szCs w:val="20"/>
          <w:color w:val="auto"/>
        </w:rPr>
      </w:pPr>
    </w:p>
    <w:p>
      <w:pPr>
        <w:ind w:left="120" w:right="240" w:firstLine="771"/>
        <w:spacing w:after="0" w:line="258" w:lineRule="auto"/>
        <w:rPr>
          <w:sz w:val="20"/>
          <w:szCs w:val="20"/>
          <w:color w:val="auto"/>
        </w:rPr>
      </w:pPr>
      <w:r>
        <w:rPr>
          <w:rFonts w:ascii="Times New Roman" w:cs="Times New Roman" w:eastAsia="Times New Roman" w:hAnsi="Times New Roman"/>
          <w:sz w:val="18"/>
          <w:szCs w:val="18"/>
          <w:color w:val="auto"/>
        </w:rPr>
        <w:t>As a part of evaluating and determining NEO performance and compensation, our compensation &amp; people committee receives recommendations from our chief executive officer (except with respect to his own performance and compensation). Our chief executive officer’s performance and compensation is approved by our board of directors based upon the recommendation of our compensation &amp; people committee. The evaluation of each of our NEOs is based on our overall corporate performance against annual goals that are approved by the board of directors at the beginning of each year, as discussed in more detail below.</w:t>
      </w:r>
    </w:p>
    <w:p>
      <w:pPr>
        <w:spacing w:after="0" w:line="210"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The compensation &amp; people committee has the sole authority to retain, at our expense, one or more third-party compensation consultants to assist the compensation &amp; people committee in performing its responsibilities. The compensation &amp; people committee may terminate the services of the consultant if the compensation &amp; people committee deems it appropriate. In 2025, the compensation &amp; people committee utilized the services of Aon to assist it in fulfilling its responsibilities. Aon was retained exclusively by the compensation &amp; people committee and has not been retained by management to perform any work for the company other than projects performed at the direction of the compensation &amp; people committee. Aon provides analysis and recommendations regarding:</w:t>
      </w:r>
    </w:p>
    <w:p>
      <w:pPr>
        <w:spacing w:after="0" w:line="268" w:lineRule="exact"/>
        <w:rPr>
          <w:sz w:val="20"/>
          <w:szCs w:val="20"/>
          <w:color w:val="auto"/>
        </w:rPr>
      </w:pPr>
    </w:p>
    <w:p>
      <w:pPr>
        <w:ind w:left="1540" w:hanging="331"/>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 emerging topics with respect to executive compensation;</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selection for executive and board of directors’ compensation benchmarking;</w:t>
      </w:r>
    </w:p>
    <w:p>
      <w:pPr>
        <w:spacing w:after="0" w:line="306" w:lineRule="exact"/>
        <w:rPr>
          <w:rFonts w:ascii="Times New Roman" w:cs="Times New Roman" w:eastAsia="Times New Roman" w:hAnsi="Times New Roman"/>
          <w:sz w:val="18"/>
          <w:szCs w:val="18"/>
          <w:color w:val="auto"/>
        </w:rPr>
      </w:pPr>
    </w:p>
    <w:p>
      <w:pPr>
        <w:ind w:left="5540" w:right="3280" w:hanging="4331"/>
        <w:spacing w:after="0" w:line="454" w:lineRule="auto"/>
        <w:tabs>
          <w:tab w:leader="none" w:pos="15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practices of our peer group, including executive severance arrangements; 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philosophy and programs, including risk assessment, for executives and non-executives;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utilization and other metrics;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compensation.</w:t>
      </w:r>
    </w:p>
    <w:p>
      <w:pPr>
        <w:spacing w:after="0" w:line="252" w:lineRule="exact"/>
        <w:rPr>
          <w:sz w:val="20"/>
          <w:szCs w:val="20"/>
          <w:color w:val="auto"/>
        </w:rPr>
      </w:pPr>
    </w:p>
    <w:p>
      <w:pPr>
        <w:ind w:left="120" w:firstLine="771"/>
        <w:spacing w:after="0" w:line="272" w:lineRule="auto"/>
        <w:rPr>
          <w:sz w:val="20"/>
          <w:szCs w:val="20"/>
          <w:color w:val="auto"/>
        </w:rPr>
      </w:pPr>
      <w:r>
        <w:rPr>
          <w:rFonts w:ascii="Times New Roman" w:cs="Times New Roman" w:eastAsia="Times New Roman" w:hAnsi="Times New Roman"/>
          <w:sz w:val="17"/>
          <w:szCs w:val="17"/>
          <w:color w:val="auto"/>
        </w:rPr>
        <w:t>In addition, we subscribe to Aon’s various global annual and specialized life sciences and general industry surveys on an ongoing basis. Aon advised the compensation &amp; people committee on all of the principal aspects of executive compensation for 2025. Aon consultants attend meetings of the compensation &amp; people committee, including executive sessions in which executive compensation issues are discussed, when requested to do so. Aon reports to the compensation &amp; people committee and not to management, although it meets with management for purposes of gathering information for its analyses and recommendations. The compensation &amp; people committee annually evaluates its engagement of compensation consultants, and selected Aon to advise with respect to compensation matters based on Aon’s industry experience and reputation, which our compensation &amp; people committee concluded gave Aon useful context and knowledge to advise it. The compensation &amp; people committee has assessed the independence of Aon pursuant to SEC and Nasdaq rules and concluded that no conflict of interest exists between Aon and the company, and that Aon is independent.</w:t>
      </w:r>
    </w:p>
    <w:p>
      <w:pPr>
        <w:spacing w:after="0" w:line="212" w:lineRule="exact"/>
        <w:rPr>
          <w:sz w:val="20"/>
          <w:szCs w:val="20"/>
          <w:color w:val="auto"/>
        </w:rPr>
      </w:pPr>
    </w:p>
    <w:p>
      <w:pPr>
        <w:ind w:left="120" w:right="200" w:firstLine="771"/>
        <w:spacing w:after="0" w:line="258" w:lineRule="auto"/>
        <w:rPr>
          <w:sz w:val="20"/>
          <w:szCs w:val="20"/>
          <w:color w:val="auto"/>
        </w:rPr>
      </w:pPr>
      <w:r>
        <w:rPr>
          <w:rFonts w:ascii="Times New Roman" w:cs="Times New Roman" w:eastAsia="Times New Roman" w:hAnsi="Times New Roman"/>
          <w:sz w:val="18"/>
          <w:szCs w:val="18"/>
          <w:color w:val="auto"/>
        </w:rPr>
        <w:t>Annual base salaries for the current year, and annual performance-based cash incentives and equity incentive awards for the prior year are generally determined in the first quarter of the year based on company and individual performance of the prior year, as well as other factors, including compensation trends in the biopharmaceutical industry and among our benchmark peers. Our compensation &amp; people committee may also review or determine the compensation of our executive officers throughout the course of the year, including in connection with new hires, promotions or other special circumstances as our compensation &amp; people committee determines appropriate.</w:t>
      </w:r>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Use of Comparator Peer Group</w:t>
      </w:r>
    </w:p>
    <w:p>
      <w:pPr>
        <w:spacing w:after="0" w:line="254" w:lineRule="exact"/>
        <w:rPr>
          <w:sz w:val="20"/>
          <w:szCs w:val="20"/>
          <w:color w:val="auto"/>
        </w:rPr>
      </w:pPr>
    </w:p>
    <w:p>
      <w:pPr>
        <w:ind w:left="120" w:right="300" w:firstLine="771"/>
        <w:spacing w:after="0" w:line="255" w:lineRule="auto"/>
        <w:rPr>
          <w:sz w:val="20"/>
          <w:szCs w:val="20"/>
          <w:color w:val="auto"/>
        </w:rPr>
      </w:pPr>
      <w:r>
        <w:rPr>
          <w:rFonts w:ascii="Times New Roman" w:cs="Times New Roman" w:eastAsia="Times New Roman" w:hAnsi="Times New Roman"/>
          <w:sz w:val="18"/>
          <w:szCs w:val="18"/>
          <w:color w:val="auto"/>
        </w:rPr>
        <w:t>The compensation &amp; people committee benchmarks our executive compensation against a peer group of companies to determine competitiveness and market trends. The compensation &amp; people committee reviews the companies in our peer group annually, reviews Aon’s recommendations regarding which companies should be included in the peer group and makes adjustments as necessary to ensure the peer group continues to properly reflect comparable companies based on industry, market capitalization and headcount, as well as companies with which we compete for talented executives. The compensation &amp; people committee also annually reviews the executive pay practices of other similarly situated companies as reported by Aon through industry surveys and proxy analyses specific to the biopharmaceutical and biotechnology sectors. The compensation &amp; people committee considers this information when making determinations for each element of compensation.</w:t>
      </w:r>
    </w:p>
    <w:p>
      <w:pPr>
        <w:spacing w:after="0" w:line="229"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In developing the peer group of companies to inform 2025 compensation decisions, our compensation &amp; people committee, with the assistance of Aon, established a peer group of 14 publicly traded, national and regional companies in the biopharmaceutical industry based on a balance of the following criteria:</w:t>
      </w:r>
    </w:p>
    <w:p>
      <w:pPr>
        <w:spacing w:after="0" w:line="257" w:lineRule="exact"/>
        <w:rPr>
          <w:sz w:val="20"/>
          <w:szCs w:val="20"/>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to 1,500 employees;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capitalization between $800 million and $7.5 billion;</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late-stage clinical or early commercial-stage portfolio with a focus on rare diseases;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 of less than $500 million.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these criteria, our peer group for 2025 was comprised of the following 14 companies: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ACADIA Pharmaceuticals Inc.</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Sage Therapeutics, Inc.</w:t>
            </w:r>
          </w:p>
        </w:tc>
      </w:tr>
      <w:tr>
        <w:trPr>
          <w:trHeight w:val="47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Amicus Therapeutics, Inc.</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SpringWorks Therapeutics, Inc.</w:t>
            </w:r>
          </w:p>
        </w:tc>
      </w:tr>
      <w:tr>
        <w:trPr>
          <w:trHeight w:val="47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Apellis Pharmaceuticals, Inc.</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Travere Therapeutics, Inc.</w:t>
            </w:r>
          </w:p>
        </w:tc>
      </w:tr>
      <w:tr>
        <w:trPr>
          <w:trHeight w:val="47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Arcus Biosciences, Inc.*</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Mirum Pharmaceuticals, Inc.</w:t>
            </w:r>
          </w:p>
        </w:tc>
        <w:tc>
          <w:tcPr>
            <w:tcW w:w="2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Ultragenyx Pharmaceutical Inc.</w:t>
            </w:r>
          </w:p>
        </w:tc>
      </w:tr>
      <w:tr>
        <w:trPr>
          <w:trHeight w:val="47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BioCryst Pharmaceuticals, Inc.</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Rhythm Pharmaceuticals, Inc.</w:t>
            </w:r>
          </w:p>
        </w:tc>
        <w:tc>
          <w:tcPr>
            <w:tcW w:w="2920" w:type="dxa"/>
            <w:vAlign w:val="bottom"/>
          </w:tcPr>
          <w:p>
            <w:pPr>
              <w:spacing w:after="0"/>
              <w:rPr>
                <w:sz w:val="24"/>
                <w:szCs w:val="24"/>
                <w:color w:val="auto"/>
              </w:rPr>
            </w:pPr>
          </w:p>
        </w:tc>
      </w:tr>
      <w:tr>
        <w:trPr>
          <w:trHeight w:val="47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*addition to 2025 peer group</w:t>
            </w:r>
          </w:p>
        </w:tc>
        <w:tc>
          <w:tcPr>
            <w:tcW w:w="398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225"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The compensation &amp; people committee believes the compensation practices of our peer group provide us with appropriate compensation benchmarks for evaluating the compensation of our NEOs. Notwithstanding the similarities of the peer group to our company,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&amp; people committee vary from its historic compensation practices or deviate from its general compensation philosophy under certain circumstances.</w:t>
      </w:r>
    </w:p>
    <w:p>
      <w:pPr>
        <w:spacing w:after="0" w:line="187" w:lineRule="exact"/>
        <w:rPr>
          <w:sz w:val="20"/>
          <w:szCs w:val="20"/>
          <w:color w:val="auto"/>
        </w:rPr>
      </w:pPr>
    </w:p>
    <w:p>
      <w:pPr>
        <w:ind w:left="120" w:right="100" w:firstLine="771"/>
        <w:spacing w:after="0" w:line="266" w:lineRule="auto"/>
        <w:rPr>
          <w:sz w:val="20"/>
          <w:szCs w:val="20"/>
          <w:color w:val="auto"/>
        </w:rPr>
      </w:pPr>
      <w:r>
        <w:rPr>
          <w:rFonts w:ascii="Times New Roman" w:cs="Times New Roman" w:eastAsia="Times New Roman" w:hAnsi="Times New Roman"/>
          <w:sz w:val="18"/>
          <w:szCs w:val="18"/>
          <w:color w:val="auto"/>
        </w:rPr>
        <w:t>For the purposes of informing 2026 compensation decisions, the compensation &amp; people committee, with the advice of Aon, examined the peer group list and, with reference to market capitalization, therapeutic area, stage of development, number of employees and other key business metrics, approved the following 2026 peer group:</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Amicus Therapeutics,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SpringWorks Therapeutics, Inc.</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Apellis Pharmaceuticals,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Arcus Biosciences,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TG Therapeutics, Inc.*</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Axome Therapeutics,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Mirum Pharmaceuticals, Inc.</w:t>
            </w:r>
          </w:p>
        </w:tc>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Travere Therapeutics, Inc.</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BioCryst Pharmaceuticals,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Rhythm Pharmaceuticals, Inc.</w:t>
            </w:r>
          </w:p>
        </w:tc>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Ultragenyx Pharmaceutical Inc.</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Soleno Therapeutics, Inc.*</w:t>
            </w:r>
          </w:p>
        </w:tc>
        <w:tc>
          <w:tcPr>
            <w:tcW w:w="3000" w:type="dxa"/>
            <w:vAlign w:val="bottom"/>
          </w:tcPr>
          <w:p>
            <w:pPr>
              <w:spacing w:after="0"/>
              <w:rPr>
                <w:sz w:val="24"/>
                <w:szCs w:val="24"/>
                <w:color w:val="auto"/>
              </w:rPr>
            </w:pP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 to 2026 peer group</w:t>
            </w:r>
          </w:p>
        </w:tc>
        <w:tc>
          <w:tcPr>
            <w:tcW w:w="382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38"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Our compensation &amp; people committee made adjustments to our 2026 peer group to ensure it represented a group of biopharmaceutical companies that aligns with us in key measures based on our disease area focus, the current state of our commercialization efforts, and our development pipeline, focusing on companies with:</w:t>
      </w:r>
    </w:p>
    <w:p>
      <w:pPr>
        <w:spacing w:after="0" w:line="257" w:lineRule="exact"/>
        <w:rPr>
          <w:sz w:val="20"/>
          <w:szCs w:val="20"/>
          <w:color w:val="auto"/>
        </w:rPr>
      </w:pPr>
    </w:p>
    <w:p>
      <w:pPr>
        <w:ind w:left="1540" w:hanging="331"/>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200 to 1,800 employees;</w:t>
      </w:r>
    </w:p>
    <w:p>
      <w:pPr>
        <w:spacing w:after="0" w:line="306" w:lineRule="exact"/>
        <w:rPr>
          <w:rFonts w:ascii="Times New Roman" w:cs="Times New Roman" w:eastAsia="Times New Roman" w:hAnsi="Times New Roman"/>
          <w:sz w:val="18"/>
          <w:szCs w:val="18"/>
          <w:color w:val="auto"/>
        </w:rPr>
      </w:pPr>
    </w:p>
    <w:p>
      <w:pPr>
        <w:ind w:left="5540" w:right="4960" w:hanging="4331"/>
        <w:spacing w:after="0" w:line="367" w:lineRule="auto"/>
        <w:tabs>
          <w:tab w:leader="none" w:pos="153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market capitalization between $700 million and $6.5 billion; 46</w:t>
      </w:r>
    </w:p>
    <w:p>
      <w:pPr>
        <w:sectPr>
          <w:pgSz w:w="11900" w:h="16838" w:orient="portrait"/>
          <w:cols w:equalWidth="0" w:num="1">
            <w:col w:w="10980"/>
          </w:cols>
          <w:pgMar w:left="320" w:top="482" w:right="5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late-stage clinical or early commercial-stage portfolio with a focus on rare diseases;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revenue of less than $500 million.</w:t>
      </w:r>
    </w:p>
    <w:p>
      <w:pPr>
        <w:spacing w:after="0" w:line="252" w:lineRule="exact"/>
        <w:rPr>
          <w:sz w:val="20"/>
          <w:szCs w:val="20"/>
          <w:color w:val="auto"/>
        </w:rPr>
      </w:pPr>
    </w:p>
    <w:p>
      <w:pPr>
        <w:jc w:val="both"/>
        <w:ind w:left="120" w:right="260" w:firstLine="771"/>
        <w:spacing w:after="0" w:line="261" w:lineRule="auto"/>
        <w:rPr>
          <w:sz w:val="20"/>
          <w:szCs w:val="20"/>
          <w:color w:val="auto"/>
        </w:rPr>
      </w:pPr>
      <w:r>
        <w:rPr>
          <w:rFonts w:ascii="Times New Roman" w:cs="Times New Roman" w:eastAsia="Times New Roman" w:hAnsi="Times New Roman"/>
          <w:sz w:val="18"/>
          <w:szCs w:val="18"/>
          <w:color w:val="auto"/>
        </w:rPr>
        <w:t>Specifically, ACADIA Pharmaceuticals Inc. was removed from the 2026 peer group because the company’s revenue moved outside of our targeted range, and Sage Therapeutics, Inc. was removed from the 2026 peer group due to the company having been acquired. Axome Therapeutics, Inc., Iovance Biotherapeutics, Inc., Soleno Therapeutics, Inc., Syndax Pharmaceuticals, Inc., and TG Therapeutics, Inc. were added to the 2026 peer group through an evaluation of potential peers meeting the above criteria.</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Elements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primary elements of our executive compensation program are:</w:t>
      </w:r>
    </w:p>
    <w:p>
      <w:pPr>
        <w:spacing w:after="0" w:line="306" w:lineRule="exact"/>
        <w:rPr>
          <w:sz w:val="20"/>
          <w:szCs w:val="20"/>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performance-based cash incentives;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 in control benefits;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health and welfare benefits;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401(k) plan.</w:t>
      </w:r>
    </w:p>
    <w:p>
      <w:pPr>
        <w:spacing w:after="0" w:line="252" w:lineRule="exact"/>
        <w:rPr>
          <w:sz w:val="20"/>
          <w:szCs w:val="20"/>
          <w:color w:val="auto"/>
        </w:rPr>
      </w:pPr>
    </w:p>
    <w:p>
      <w:pPr>
        <w:ind w:left="120" w:firstLine="771"/>
        <w:spacing w:after="0" w:line="252" w:lineRule="auto"/>
        <w:rPr>
          <w:sz w:val="20"/>
          <w:szCs w:val="20"/>
          <w:color w:val="auto"/>
        </w:rPr>
      </w:pPr>
      <w:r>
        <w:rPr>
          <w:rFonts w:ascii="Times New Roman" w:cs="Times New Roman" w:eastAsia="Times New Roman" w:hAnsi="Times New Roman"/>
          <w:sz w:val="18"/>
          <w:szCs w:val="18"/>
          <w:color w:val="auto"/>
        </w:rPr>
        <w:t>Our compensation &amp; people committee uses its judgment to allocate long-term and short-term compensation for our NEOs, in alignment with our pay-for-performance philosophy and the long-term interests of stockholders. After reviewing information provided by our compensation consultant and other relevant data, our compensation &amp; people committee determines what it believes to be the appropriate level and mix of the various compensation components. The compensation &amp; people committee generally strives to provide our NEOs with a balance of short-term and long-term incentives to encourage consistently strong performance. Ultimately, the compensation &amp; people committee’s objective in allocating between long-term and short-term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We also provide cash compensation in the form of performance-based cash incentive compensation designed to incentivize and reward performance based on specific short-term annual company goals. To further focus our NEOs on longer-term performance, we rely upon equity-based incentive awards that vest over a meaningful period of time or upon the achievement of meaningful corporate milestones, thereby reinforcing stockholder value creation. 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Finally, we offer our NEOs severance benefits to align with market practice and to incentivize them to continue to strive to achieve stockholder value in connection with change in control situations.</w:t>
      </w:r>
    </w:p>
    <w:p>
      <w:pPr>
        <w:spacing w:after="0" w:line="2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54" w:lineRule="exact"/>
        <w:rPr>
          <w:sz w:val="20"/>
          <w:szCs w:val="20"/>
          <w:color w:val="auto"/>
        </w:rPr>
      </w:pPr>
    </w:p>
    <w:p>
      <w:pPr>
        <w:ind w:left="120" w:right="180" w:firstLine="771"/>
        <w:spacing w:after="0" w:line="282" w:lineRule="auto"/>
        <w:rPr>
          <w:sz w:val="20"/>
          <w:szCs w:val="20"/>
          <w:color w:val="auto"/>
        </w:rPr>
      </w:pPr>
      <w:r>
        <w:rPr>
          <w:rFonts w:ascii="Times New Roman" w:cs="Times New Roman" w:eastAsia="Times New Roman" w:hAnsi="Times New Roman"/>
          <w:sz w:val="18"/>
          <w:szCs w:val="18"/>
          <w:color w:val="auto"/>
        </w:rPr>
        <w:t>Base salaries are used to recognize the experience, skills, knowledge and responsibilities required of our NEOs. Base salaries for our NEOs typically are established through arm’s length negotiation at the time the NEO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is hired or promoted, taking into account the position for which the NEO is being considered and the NEO’s qualifications, prior experience and salary expectations. None of our NEOs is currently party to an employment agreement that provides for automatic or scheduled increases in base salary and we do not provide formulaic base salary increases to our NEOs. However, on an annual basis, our compensation &amp; people committee reviews and evaluates, with input from our chief executive officer for all other NEOs, the need for adjustment of the base salaries of our NEOs based on changes and expected changes in the scope of a NEO’s responsibilities, including promotions, the individual contributions made by and performance of the NEO during the prior year, the NEO’s performance over a period of years, overall labor market conditions, the relative ease or difficulty of replacing the executive with a well-qualified person, our overall growth and development as a company and general salary trends in our industry and among our peer group and where the NEO’s salary falls in the salary range presented by that data. In making decisions regarding salary increases, the compensation &amp; people committee may also draw upon the experience of members of our board of directors with other companies.</w:t>
      </w:r>
    </w:p>
    <w:p>
      <w:pPr>
        <w:spacing w:after="0" w:line="215" w:lineRule="exact"/>
        <w:rPr>
          <w:sz w:val="20"/>
          <w:szCs w:val="20"/>
          <w:color w:val="auto"/>
        </w:rPr>
      </w:pPr>
    </w:p>
    <w:p>
      <w:pPr>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In February 2025, based on a review of market data provided by Aon and the factors described above, including the current compensation levels of our NEOs and company performance and individual contributions, our compensation &amp; people committee or board of directors, as applicable, approved 2025 salary increases for our NEOs, other than Dr. Viswanadhan. Dr. Viswanadhan was appointed our chief corporate development &amp; strategy officer effective March 5, 2025, and his 2025 base salary was approved by the compensation &amp; people committee in December 2024.</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2024 and 2025 annual base salaries of each of our NEOs were:</w:t>
            </w: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7"/>
        </w:trPr>
        <w:tc>
          <w:tcPr>
            <w:tcW w:w="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8"/>
              </w:rPr>
              <w:t>Base Salary ($)</w:t>
            </w:r>
          </w:p>
        </w:tc>
        <w:tc>
          <w:tcPr>
            <w:tcW w:w="12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822,198</w:t>
            </w:r>
          </w:p>
        </w:tc>
        <w:tc>
          <w:tcPr>
            <w:tcW w:w="8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846,864</w:t>
            </w:r>
          </w:p>
        </w:tc>
        <w:tc>
          <w:tcPr>
            <w:tcW w:w="8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5"/>
              </w:rPr>
              <w:t>0%(1)</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503,880</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535,085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w:t>
            </w:r>
          </w:p>
        </w:tc>
        <w:tc>
          <w:tcPr>
            <w:tcW w:w="1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511,917</w:t>
            </w:r>
          </w:p>
        </w:tc>
        <w:tc>
          <w:tcPr>
            <w:tcW w:w="1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527,275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Gheuens, M.D., Ph.D.</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583,495</w:t>
            </w: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601,060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Viswanadhan, Pharm.D</w:t>
            </w:r>
          </w:p>
        </w:tc>
        <w:tc>
          <w:tcPr>
            <w:tcW w:w="1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525,000</w:t>
            </w:r>
          </w:p>
        </w:tc>
        <w:tc>
          <w:tcPr>
            <w:tcW w:w="12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reflects merit-based adjustment.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1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reflects merit- and market-based adjustments.</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480" w:type="dxa"/>
            <w:vAlign w:val="bottom"/>
          </w:tcPr>
          <w:p>
            <w:pPr>
              <w:spacing w:after="0"/>
              <w:rPr>
                <w:sz w:val="24"/>
                <w:szCs w:val="24"/>
                <w:color w:val="auto"/>
              </w:rPr>
            </w:pPr>
          </w:p>
        </w:tc>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Annual Performance-based Cash Incentives</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25"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We have designed our annual performance-based cash incentive program, which is guided by specified annual corporate and individual goals and contributions, to emphasize pay-for-performance and to reward our NEOs for our performance during the preceding year. The target pay opportunity of the annual cash incentive for the chief executive officer is determined by our board of directors, based upon the recommendation of our compensation &amp; people committee, and the amount of the target pay opportunity of the annual cash incentive for all other NEOs is determined by our compensation &amp; people committee with input from our chief executive officer. In making such determinations and recommendations, the compensation &amp; people committee examined the totality of anticipated and unanticipated achievements by us and each NEO in the preceding year, including our performance against specific research, clinical, regulatory, operational and financial company goals. In recent years, these annual company goals have primarily focused on the advancement of our most advanced programs.</w:t>
      </w:r>
    </w:p>
    <w:p>
      <w:pPr>
        <w:spacing w:after="0" w:line="232" w:lineRule="exact"/>
        <w:rPr>
          <w:sz w:val="20"/>
          <w:szCs w:val="20"/>
          <w:color w:val="auto"/>
        </w:rPr>
      </w:pPr>
    </w:p>
    <w:p>
      <w:pPr>
        <w:jc w:val="both"/>
        <w:ind w:left="120" w:right="180" w:firstLine="771"/>
        <w:spacing w:after="0" w:line="266" w:lineRule="auto"/>
        <w:rPr>
          <w:sz w:val="20"/>
          <w:szCs w:val="20"/>
          <w:color w:val="auto"/>
        </w:rPr>
      </w:pPr>
      <w:r>
        <w:rPr>
          <w:rFonts w:ascii="Times New Roman" w:cs="Times New Roman" w:eastAsia="Times New Roman" w:hAnsi="Times New Roman"/>
          <w:sz w:val="18"/>
          <w:szCs w:val="18"/>
          <w:color w:val="auto"/>
        </w:rPr>
        <w:t>Our compensation &amp; people committee determined to formally cap annual performance-based cash incentive program funding in any given year at 150% of the target payout level. Under our annual performance-based cash incentive program, individual cash incentive awards are determined by first establishing a cash incentive pool, which is adjusted based upon recommendations by our compensation &amp; people committee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approval by our board of directors based on the company’s performance as measured against the company’s predetermined annual goals and then allocated among all eligible program participants. Our board of directors, upon recommendation of our compensation &amp; people committee, annually evaluates the company’s strategic priorities for the upcoming year and assigns appropriate relative weightings for the annual corporate goals. Below is the list of the company’s 2025 goals and relative weighting assigned to each goal, as considered by our compensation &amp; people committee and board of directors in their respective assessment of company performance in 2025.</w:t>
      </w:r>
    </w:p>
    <w:p>
      <w:pPr>
        <w:spacing w:after="0" w:line="262" w:lineRule="exact"/>
        <w:rPr>
          <w:sz w:val="20"/>
          <w:szCs w:val="20"/>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foundation for future of hemolytic anemia franchise through launch readiness and global planning: </w:t>
      </w:r>
      <w:r>
        <w:rPr>
          <w:rFonts w:ascii="Times New Roman" w:cs="Times New Roman" w:eastAsia="Times New Roman" w:hAnsi="Times New Roman"/>
          <w:sz w:val="18"/>
          <w:szCs w:val="18"/>
          <w:i w:val="1"/>
          <w:iCs w:val="1"/>
          <w:color w:val="auto"/>
        </w:rPr>
        <w:t>relative weighting 30%</w:t>
      </w:r>
    </w:p>
    <w:p>
      <w:pPr>
        <w:spacing w:after="0" w:line="308"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target annual global revenue for 2025;</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pre-launch readiness for mitapivat in SCD based on defined metrics by the end of the fourth quarter; and</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E.U. operational plan based on defined milestones by the fourth quarter.</w:t>
      </w:r>
    </w:p>
    <w:p>
      <w:pPr>
        <w:spacing w:after="0" w:line="30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 mitapivat in thalassemia and SCD: </w:t>
      </w:r>
      <w:r>
        <w:rPr>
          <w:rFonts w:ascii="Times New Roman" w:cs="Times New Roman" w:eastAsia="Times New Roman" w:hAnsi="Times New Roman"/>
          <w:sz w:val="18"/>
          <w:szCs w:val="18"/>
          <w:i w:val="1"/>
          <w:iCs w:val="1"/>
          <w:color w:val="auto"/>
        </w:rPr>
        <w:t>relative weighting 30%</w:t>
      </w:r>
    </w:p>
    <w:p>
      <w:pPr>
        <w:spacing w:after="0" w:line="308"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U.S. approval of mitapivat in adult thalassemia by the third quarter;</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Saudi Arabia approval of mitapivat in adult thalassemia by the fourth quarter; and</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at least one of two primary endpoints for RISE UP study in SCD.</w:t>
      </w:r>
    </w:p>
    <w:p>
      <w:pPr>
        <w:spacing w:after="0" w:line="304"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Advance and diversify pipeline: </w:t>
      </w:r>
      <w:r>
        <w:rPr>
          <w:rFonts w:ascii="Times New Roman" w:cs="Times New Roman" w:eastAsia="Times New Roman" w:hAnsi="Times New Roman"/>
          <w:sz w:val="18"/>
          <w:szCs w:val="18"/>
          <w:i w:val="1"/>
          <w:iCs w:val="1"/>
          <w:color w:val="auto"/>
        </w:rPr>
        <w:t>relative weighting 30%</w:t>
      </w:r>
    </w:p>
    <w:p>
      <w:pPr>
        <w:spacing w:after="0" w:line="308"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last patient enrolled for phase 2b study of tebapivat in LR MDS by the end of the third quarter;</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first patient enrolled for phase 2 study of tebapivat in SCD;</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investigational new drug application, or IND, for AG-236 by the end of the second quarter; and</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two pipeline programs to the next defined stage.</w:t>
      </w:r>
    </w:p>
    <w:p>
      <w:pPr>
        <w:spacing w:after="0" w:line="304" w:lineRule="exact"/>
        <w:rPr>
          <w:rFonts w:ascii="Times New Roman" w:cs="Times New Roman" w:eastAsia="Times New Roman" w:hAnsi="Times New Roman"/>
          <w:sz w:val="18"/>
          <w:szCs w:val="18"/>
          <w:color w:val="auto"/>
        </w:rPr>
      </w:pPr>
    </w:p>
    <w:p>
      <w:pPr>
        <w:ind w:left="1540" w:right="60" w:hanging="439"/>
        <w:spacing w:after="0" w:line="284"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financial strength and develop our strategy, organization and culture to ensure execution of the company’s vision: </w:t>
      </w:r>
      <w:r>
        <w:rPr>
          <w:rFonts w:ascii="Times New Roman" w:cs="Times New Roman" w:eastAsia="Times New Roman" w:hAnsi="Times New Roman"/>
          <w:sz w:val="18"/>
          <w:szCs w:val="18"/>
          <w:i w:val="1"/>
          <w:iCs w:val="1"/>
          <w:color w:val="auto"/>
        </w:rPr>
        <w:t>relative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weighting 10%</w:t>
      </w:r>
    </w:p>
    <w:p>
      <w:pPr>
        <w:spacing w:after="0" w:line="241"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within a specified percentage of 2025 forecast;</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 distributed workforce through high connectivity, ensuring critical capability build and retention of key talent; and</w:t>
      </w:r>
    </w:p>
    <w:p>
      <w:pPr>
        <w:spacing w:after="0" w:line="306" w:lineRule="exact"/>
        <w:rPr>
          <w:rFonts w:ascii="Times New Roman" w:cs="Times New Roman" w:eastAsia="Times New Roman" w:hAnsi="Times New Roman"/>
          <w:sz w:val="18"/>
          <w:szCs w:val="18"/>
          <w:color w:val="auto"/>
        </w:rPr>
      </w:pPr>
    </w:p>
    <w:p>
      <w:pPr>
        <w:ind w:left="1880" w:hanging="333"/>
        <w:spacing w:after="0"/>
        <w:tabs>
          <w:tab w:leader="none" w:pos="1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culture of inclusion and belonging across employee population.</w:t>
      </w:r>
    </w:p>
    <w:p>
      <w:pPr>
        <w:spacing w:after="0" w:line="252" w:lineRule="exact"/>
        <w:rPr>
          <w:sz w:val="20"/>
          <w:szCs w:val="20"/>
          <w:color w:val="auto"/>
        </w:rPr>
      </w:pPr>
    </w:p>
    <w:p>
      <w:pPr>
        <w:ind w:left="120" w:right="560" w:firstLine="771"/>
        <w:spacing w:after="0" w:line="282" w:lineRule="auto"/>
        <w:rPr>
          <w:sz w:val="20"/>
          <w:szCs w:val="20"/>
          <w:color w:val="auto"/>
        </w:rPr>
      </w:pPr>
      <w:r>
        <w:rPr>
          <w:rFonts w:ascii="Times New Roman" w:cs="Times New Roman" w:eastAsia="Times New Roman" w:hAnsi="Times New Roman"/>
          <w:sz w:val="18"/>
          <w:szCs w:val="18"/>
          <w:color w:val="auto"/>
        </w:rPr>
        <w:t>Certain of these corporate goals include highly sensitive and competitive data, including preclinical, clinical, regulatory, strategic and financial targets. We do not disclose the specific portions of these goals because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40"/>
          </w:cols>
          <w:pgMar w:left="320" w:top="482"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believe that such disclosure would result in competitive harm to us. We purposely set these goals at challenging levels. Revealing certain elements of these goals could potentially reveal insights about our preclinical, clinical, regulatory, financial and strategic plans or objectives that our competitors or potential collaborators could use against us.</w:t>
      </w:r>
    </w:p>
    <w:p>
      <w:pPr>
        <w:spacing w:after="0" w:line="203" w:lineRule="exact"/>
        <w:rPr>
          <w:sz w:val="20"/>
          <w:szCs w:val="20"/>
          <w:color w:val="auto"/>
        </w:rPr>
      </w:pPr>
    </w:p>
    <w:p>
      <w:pPr>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In January 2026, our chief executive officer recommended to our compensation &amp; people committee that our company’s performance against 2025 goals be assessed based on the company’s achievements against these goals during the year, which achievements are discussed above under “Compensation Discussion and Analysis—</w:t>
      </w:r>
      <w:r>
        <w:rPr>
          <w:rFonts w:ascii="Times New Roman" w:cs="Times New Roman" w:eastAsia="Times New Roman" w:hAnsi="Times New Roman"/>
          <w:sz w:val="18"/>
          <w:szCs w:val="18"/>
          <w:i w:val="1"/>
          <w:iCs w:val="1"/>
          <w:color w:val="auto"/>
        </w:rPr>
        <w:t>Executive Summary</w:t>
      </w:r>
      <w:r>
        <w:rPr>
          <w:rFonts w:ascii="Times New Roman" w:cs="Times New Roman" w:eastAsia="Times New Roman" w:hAnsi="Times New Roman"/>
          <w:sz w:val="18"/>
          <w:szCs w:val="18"/>
          <w:color w:val="auto"/>
        </w:rPr>
        <w:t>”. Based on the balance of the company’s relative achievement against our 2025 goals, the overall company performance score for 2025 was determined to be 100% by our board of directors upon the recommendation of the compensation &amp; people committee. Below is our relative weighted performance against our 2025 goals, as determined by our board of directors.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2025 Corporate Goals</w:t>
            </w:r>
          </w:p>
        </w:tc>
        <w:tc>
          <w:tcPr>
            <w:tcW w:w="408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Assessment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5"/>
        </w:trPr>
        <w:tc>
          <w:tcPr>
            <w:tcW w:w="1700" w:type="dxa"/>
            <w:vAlign w:val="bottom"/>
            <w:tcBorders>
              <w:bottom w:val="single" w:sz="8" w:color="auto"/>
            </w:tcBorders>
            <w:vMerge w:val="continue"/>
          </w:tcPr>
          <w:p>
            <w:pPr>
              <w:spacing w:after="0"/>
              <w:rPr>
                <w:sz w:val="21"/>
                <w:szCs w:val="21"/>
                <w:color w:val="auto"/>
              </w:rPr>
            </w:pPr>
          </w:p>
        </w:tc>
        <w:tc>
          <w:tcPr>
            <w:tcW w:w="4080" w:type="dxa"/>
            <w:vAlign w:val="bottom"/>
            <w:vMerge w:val="continue"/>
          </w:tcPr>
          <w:p>
            <w:pPr>
              <w:spacing w:after="0"/>
              <w:rPr>
                <w:sz w:val="21"/>
                <w:szCs w:val="21"/>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7"/>
              </w:rPr>
              <w:t>Weighting</w:t>
            </w:r>
          </w:p>
        </w:tc>
        <w:tc>
          <w:tcPr>
            <w:tcW w:w="22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7"/>
              </w:rPr>
              <w:t>of Achievement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0" w:type="dxa"/>
            <w:vAlign w:val="bottom"/>
          </w:tcPr>
          <w:p>
            <w:pPr>
              <w:spacing w:after="0"/>
              <w:rPr>
                <w:sz w:val="1"/>
                <w:szCs w:val="1"/>
                <w:color w:val="auto"/>
              </w:rPr>
            </w:pPr>
          </w:p>
        </w:tc>
      </w:tr>
      <w:tr>
        <w:trPr>
          <w:trHeight w:val="169"/>
        </w:trPr>
        <w:tc>
          <w:tcPr>
            <w:tcW w:w="578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Set foundation for future of hemolytic anemia franchise through</w:t>
            </w:r>
          </w:p>
        </w:tc>
        <w:tc>
          <w:tcPr>
            <w:tcW w:w="8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launch readiness and global planning</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Advance mitapivat in thalassemia and SCD</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Advance and diversify pipeline</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57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Maintain financial strength and develop our strategy, organization</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and culture to ensure execution of the company’s vision</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w:t>
            </w:r>
          </w:p>
        </w:tc>
        <w:tc>
          <w:tcPr>
            <w:tcW w:w="22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right="40" w:firstLine="771"/>
        <w:spacing w:after="0" w:line="258" w:lineRule="auto"/>
        <w:rPr>
          <w:sz w:val="20"/>
          <w:szCs w:val="20"/>
          <w:color w:val="auto"/>
        </w:rPr>
      </w:pPr>
      <w:r>
        <w:rPr>
          <w:rFonts w:ascii="Times New Roman" w:cs="Times New Roman" w:eastAsia="Times New Roman" w:hAnsi="Times New Roman"/>
          <w:sz w:val="18"/>
          <w:szCs w:val="18"/>
          <w:color w:val="auto"/>
        </w:rPr>
        <w:t>Our compensation &amp; people committee also evaluates the individual performance of our NEOs, with the input of our chief executive officer in the case of the evaluation of our other NEOs, and makes recommendations to our board of directors with regard to the evaluation of our chief executive officer’s individual performance. Consistent with this process, our compensation &amp; people committee assessed the performance of Mr. Goff in 2025 based on our relative achievement of our corporate goals as well as his individual performance and leadership in driving the execution of our strategic plans.</w:t>
      </w:r>
    </w:p>
    <w:p>
      <w:pPr>
        <w:spacing w:after="0" w:line="224" w:lineRule="exact"/>
        <w:rPr>
          <w:sz w:val="20"/>
          <w:szCs w:val="20"/>
          <w:color w:val="auto"/>
        </w:rPr>
      </w:pPr>
    </w:p>
    <w:p>
      <w:pPr>
        <w:ind w:left="120" w:right="160" w:firstLine="771"/>
        <w:spacing w:after="0" w:line="266" w:lineRule="auto"/>
        <w:rPr>
          <w:sz w:val="20"/>
          <w:szCs w:val="20"/>
          <w:color w:val="auto"/>
        </w:rPr>
      </w:pPr>
      <w:r>
        <w:rPr>
          <w:rFonts w:ascii="Times New Roman" w:cs="Times New Roman" w:eastAsia="Times New Roman" w:hAnsi="Times New Roman"/>
          <w:sz w:val="18"/>
          <w:szCs w:val="18"/>
          <w:color w:val="auto"/>
        </w:rPr>
        <w:t>In assessing the individual performance of our NEOs other than our chief executive officer, our compensation &amp; people committee, with the input of our chief executive officer, considered each such officer’s individual contributions to the completion of our 2025 goals, and the officer’s individual achievements in helping to build the company and execute on our strategy. These achievements include the following:</w:t>
      </w:r>
    </w:p>
    <w:p>
      <w:pPr>
        <w:spacing w:after="0" w:line="257" w:lineRule="exact"/>
        <w:rPr>
          <w:sz w:val="20"/>
          <w:szCs w:val="20"/>
          <w:color w:val="auto"/>
        </w:rPr>
      </w:pPr>
    </w:p>
    <w:p>
      <w:pPr>
        <w:ind w:left="1540" w:right="260" w:hanging="331"/>
        <w:spacing w:after="0" w:line="26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Ms. Jones led the finance and investor relations functions driving financial performance through operating expense discipline, supporting business development and deal structuring, and executing long-range planning that extended the company’s cash runway.</w:t>
      </w:r>
    </w:p>
    <w:p>
      <w:pPr>
        <w:spacing w:after="0" w:line="256" w:lineRule="exact"/>
        <w:rPr>
          <w:rFonts w:ascii="Times New Roman" w:cs="Times New Roman" w:eastAsia="Times New Roman" w:hAnsi="Times New Roman"/>
          <w:sz w:val="18"/>
          <w:szCs w:val="18"/>
          <w:color w:val="auto"/>
        </w:rPr>
      </w:pPr>
    </w:p>
    <w:p>
      <w:pPr>
        <w:ind w:left="1540" w:right="200" w:hanging="331"/>
        <w:spacing w:after="0" w:line="26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Mr. Burns led our legal, compliance and intellectual property functions, providing strategic counsel on risk management, business development and transaction structuring, supporting key business initiatives as a trusted partner to the executive team and board of directors.</w:t>
      </w:r>
    </w:p>
    <w:p>
      <w:pPr>
        <w:spacing w:after="0" w:line="256"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Dr. Gheuens led the functions of our research, clinical, and regulatory teams delivering significant progress, including U.S. and Saudi approvals of mitapivat, advancement of tebapivat through phase 2 studies in LR-MDS and SCD, filing of the IND for AG-236, and the assessment of phase 3 RISE UP data in SCD.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331"/>
        <w:spacing w:after="0" w:line="266"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Dr. Viswanadhan joined the organization and led corporate strategy, business development and portfolio management, driving portfolio optimization and disciplined evaluation of investment opportunities that could strengthen and diversify the pipeline in alignment with corporate objectives.</w:t>
      </w:r>
    </w:p>
    <w:p>
      <w:pPr>
        <w:spacing w:after="0" w:line="203" w:lineRule="exact"/>
        <w:rPr>
          <w:sz w:val="20"/>
          <w:szCs w:val="20"/>
          <w:color w:val="auto"/>
        </w:rPr>
      </w:pPr>
    </w:p>
    <w:p>
      <w:pPr>
        <w:jc w:val="both"/>
        <w:ind w:left="120" w:right="260" w:firstLine="771"/>
        <w:spacing w:after="0" w:line="266" w:lineRule="auto"/>
        <w:rPr>
          <w:sz w:val="20"/>
          <w:szCs w:val="20"/>
          <w:color w:val="auto"/>
        </w:rPr>
      </w:pPr>
      <w:r>
        <w:rPr>
          <w:rFonts w:ascii="Times New Roman" w:cs="Times New Roman" w:eastAsia="Times New Roman" w:hAnsi="Times New Roman"/>
          <w:sz w:val="18"/>
          <w:szCs w:val="18"/>
          <w:color w:val="auto"/>
        </w:rPr>
        <w:t>Based on company and individual performance, our board of directors approved, upon the recommendation of the compensation &amp; people committee, the 2025 cash incentive payment for Mr. Goff, and the compensation &amp; people committee approved the 2025 cash incentive payments for our other NEOs,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6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2025 Actual</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2025 Actual Cash</w:t>
            </w:r>
          </w:p>
        </w:tc>
      </w:tr>
      <w:tr>
        <w:trPr>
          <w:trHeight w:val="216"/>
        </w:trPr>
        <w:tc>
          <w:tcPr>
            <w:tcW w:w="4480" w:type="dxa"/>
            <w:vAlign w:val="bottom"/>
          </w:tcPr>
          <w:p>
            <w:pPr>
              <w:spacing w:after="0"/>
              <w:rPr>
                <w:sz w:val="18"/>
                <w:szCs w:val="18"/>
                <w:color w:val="auto"/>
              </w:rPr>
            </w:pPr>
          </w:p>
        </w:tc>
        <w:tc>
          <w:tcPr>
            <w:tcW w:w="1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Award as %</w:t>
            </w:r>
          </w:p>
        </w:tc>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6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4480" w:type="dxa"/>
            <w:vAlign w:val="bottom"/>
          </w:tcPr>
          <w:p>
            <w:pPr>
              <w:spacing w:after="0"/>
              <w:rPr>
                <w:sz w:val="18"/>
                <w:szCs w:val="18"/>
                <w:color w:val="auto"/>
              </w:rPr>
            </w:pPr>
          </w:p>
        </w:tc>
        <w:tc>
          <w:tcPr>
            <w:tcW w:w="18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of Base</w:t>
            </w:r>
          </w:p>
        </w:tc>
        <w:tc>
          <w:tcPr>
            <w:tcW w:w="14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 (% of</w:t>
            </w:r>
          </w:p>
        </w:tc>
      </w:tr>
      <w:tr>
        <w:trPr>
          <w:trHeight w:val="238"/>
        </w:trPr>
        <w:tc>
          <w:tcPr>
            <w:tcW w:w="44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8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Payment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7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Award)</w:t>
            </w:r>
          </w:p>
        </w:tc>
        <w:tc>
          <w:tcPr>
            <w:tcW w:w="220" w:type="dxa"/>
            <w:vAlign w:val="bottom"/>
            <w:tcBorders>
              <w:bottom w:val="single" w:sz="8" w:color="CCEEFF"/>
            </w:tcBorders>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8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592,804</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592,804</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240,789</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240,789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w:t>
            </w:r>
          </w:p>
        </w:tc>
        <w:tc>
          <w:tcPr>
            <w:tcW w:w="18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237,274</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237,274</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Sarah Gheuens, M.D., Ph.D.</w:t>
            </w: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270,478</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270,478</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Viswanadhan, Pharm.D</w:t>
            </w:r>
          </w:p>
        </w:tc>
        <w:tc>
          <w:tcPr>
            <w:tcW w:w="18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45%</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236,250</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236,250</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2025 cash incentive payments for all employees, including the NEOs, were earned in 2025 and paid in 2026.</w:t>
      </w:r>
    </w:p>
    <w:p>
      <w:pPr>
        <w:spacing w:after="0" w:line="264" w:lineRule="exact"/>
        <w:rPr>
          <w:sz w:val="20"/>
          <w:szCs w:val="20"/>
          <w:color w:val="auto"/>
        </w:rPr>
      </w:pPr>
    </w:p>
    <w:p>
      <w:pPr>
        <w:ind w:left="120" w:right="660" w:firstLine="771"/>
        <w:spacing w:after="0" w:line="284" w:lineRule="auto"/>
        <w:rPr>
          <w:sz w:val="20"/>
          <w:szCs w:val="20"/>
          <w:color w:val="auto"/>
        </w:rPr>
      </w:pPr>
      <w:r>
        <w:rPr>
          <w:rFonts w:ascii="Times New Roman" w:cs="Times New Roman" w:eastAsia="Times New Roman" w:hAnsi="Times New Roman"/>
          <w:sz w:val="18"/>
          <w:szCs w:val="18"/>
          <w:color w:val="auto"/>
        </w:rPr>
        <w:t xml:space="preserve">As discussed below under </w:t>
      </w:r>
      <w:r>
        <w:rPr>
          <w:rFonts w:ascii="Times New Roman" w:cs="Times New Roman" w:eastAsia="Times New Roman" w:hAnsi="Times New Roman"/>
          <w:sz w:val="18"/>
          <w:szCs w:val="18"/>
          <w:i w:val="1"/>
          <w:iCs w:val="1"/>
          <w:color w:val="auto"/>
        </w:rPr>
        <w:t>“—2026 Executive Compensation Decisions</w:t>
      </w:r>
      <w:r>
        <w:rPr>
          <w:rFonts w:ascii="Times New Roman" w:cs="Times New Roman" w:eastAsia="Times New Roman" w:hAnsi="Times New Roman"/>
          <w:sz w:val="18"/>
          <w:szCs w:val="18"/>
          <w:color w:val="auto"/>
        </w:rPr>
        <w:t>”, the annual cash incentive target award percentages for 2026 performance for our NEOs remain unchanged from 2025 and 2024.</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Equity Incentive Awards</w:t>
      </w:r>
    </w:p>
    <w:p>
      <w:pPr>
        <w:spacing w:after="0" w:line="268" w:lineRule="exact"/>
        <w:rPr>
          <w:sz w:val="20"/>
          <w:szCs w:val="20"/>
          <w:color w:val="auto"/>
        </w:rPr>
      </w:pPr>
    </w:p>
    <w:p>
      <w:pPr>
        <w:ind w:left="120" w:right="20" w:firstLine="771"/>
        <w:spacing w:after="0" w:line="255" w:lineRule="auto"/>
        <w:rPr>
          <w:sz w:val="20"/>
          <w:szCs w:val="20"/>
          <w:color w:val="auto"/>
        </w:rPr>
      </w:pPr>
      <w:r>
        <w:rPr>
          <w:rFonts w:ascii="Times New Roman" w:cs="Times New Roman" w:eastAsia="Times New Roman" w:hAnsi="Times New Roman"/>
          <w:sz w:val="18"/>
          <w:szCs w:val="18"/>
          <w:color w:val="auto"/>
        </w:rPr>
        <w:t>Our equity award program is the primary long-term incentive compensation vehicle for our executives. We believe that equity grants provide our executives with a strong link to our long-term performance, create an ownership culture and help to align the interests of our executives and our stockholders. Our executives benefit from stock option and RSU awards as our stock price increases through the creation of stockholder value; similarly, the PSU awards granted to our executives vest only after the achievement of specified company performance milestones. Accordingly, we believe stock option, RSU and PSU awards provide meaningful incentives to our executives to increase the value of our stock over time. In addition, the vesting features of our equity grants contribute to executive retention by providing an incentive to our executives to remain employed with us during the vesting period.</w:t>
      </w:r>
    </w:p>
    <w:p>
      <w:pPr>
        <w:spacing w:after="0" w:line="216" w:lineRule="exact"/>
        <w:rPr>
          <w:sz w:val="20"/>
          <w:szCs w:val="20"/>
          <w:color w:val="auto"/>
        </w:rPr>
      </w:pPr>
    </w:p>
    <w:p>
      <w:pPr>
        <w:ind w:left="120" w:right="120" w:firstLine="771"/>
        <w:spacing w:after="0" w:line="258" w:lineRule="auto"/>
        <w:rPr>
          <w:sz w:val="20"/>
          <w:szCs w:val="20"/>
          <w:color w:val="auto"/>
        </w:rPr>
      </w:pPr>
      <w:r>
        <w:rPr>
          <w:rFonts w:ascii="Times New Roman" w:cs="Times New Roman" w:eastAsia="Times New Roman" w:hAnsi="Times New Roman"/>
          <w:sz w:val="18"/>
          <w:szCs w:val="18"/>
          <w:color w:val="auto"/>
        </w:rPr>
        <w:t>Equity compensation represents the largest at-risk component of our NEOs’ compensation arrangements. We believe that it is appropriate to align the interests of our NEOs with those of our stockholders to achieve and sustain long-term stock price appreciation. We typically use stock option, RSU and PSU awards to compensate our NEOs in the form of initial grants in connection with the commencement of employment as well as on an annual basis. In addition, from time to time we have granted certain employees, including our NEOs, supplemental RSU and/or PSU awards in order to further promote retention and to motivate and recognize individual employees’ impact on our organizational success.</w:t>
      </w:r>
    </w:p>
    <w:p>
      <w:pPr>
        <w:spacing w:after="0" w:line="224"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We grant equity awards to our NEOs with both time-based and performance-based vesting. The stock options that we grant to our NEOs with time-based vesting typically become exercisable as to 25% of the shares underlying the option on the first anniversary of the grant date, and as to the remaining shares in equal monthly increments over the 36 months thereafter. The RSUs we grant to our NEOs typically vest in equal annual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installments on each anniversary of the date of grant, until the third anniversary of such date. The PSUs that we grant to our NEOs generally vest in connection with the achievement of specified company performance milestones. The exercise price of all stock options equals the fair market value of shares of our common stock on the date of grant. Prior to the exercise of an option, the holder has no rights as a stockholder with respect to the shares subject to such option, including no voting rights and no right to receive dividends or dividend equivalents. Vesting of stock options ceases on termination of service and the exercise rights of stock options cease shortly after termination of service except in the case of death or disability. Vesting of both RSU and PSU awards ceases upon termination of service.</w:t>
      </w:r>
    </w:p>
    <w:p>
      <w:pPr>
        <w:spacing w:after="0" w:line="214" w:lineRule="exact"/>
        <w:rPr>
          <w:sz w:val="20"/>
          <w:szCs w:val="20"/>
          <w:color w:val="auto"/>
        </w:rPr>
      </w:pPr>
    </w:p>
    <w:p>
      <w:pPr>
        <w:ind w:left="120" w:right="320" w:firstLine="771"/>
        <w:spacing w:after="0" w:line="282" w:lineRule="auto"/>
        <w:rPr>
          <w:sz w:val="20"/>
          <w:szCs w:val="20"/>
          <w:color w:val="auto"/>
        </w:rPr>
      </w:pPr>
      <w:r>
        <w:rPr>
          <w:rFonts w:ascii="Times New Roman" w:cs="Times New Roman" w:eastAsia="Times New Roman" w:hAnsi="Times New Roman"/>
          <w:sz w:val="18"/>
          <w:szCs w:val="18"/>
          <w:color w:val="auto"/>
        </w:rPr>
        <w:t>In specified termination and change in control circumstances, equity awards held by our NEOs are subject to accelerated vesting. See “— Severance and Change in Control Benefits” below for further information.</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Annual Equity Grants</w:t>
      </w:r>
    </w:p>
    <w:p>
      <w:pPr>
        <w:spacing w:after="0" w:line="268" w:lineRule="exact"/>
        <w:rPr>
          <w:sz w:val="20"/>
          <w:szCs w:val="20"/>
          <w:color w:val="auto"/>
        </w:rPr>
      </w:pPr>
    </w:p>
    <w:p>
      <w:pPr>
        <w:ind w:left="120" w:right="80" w:firstLine="771"/>
        <w:spacing w:after="0" w:line="254" w:lineRule="auto"/>
        <w:rPr>
          <w:sz w:val="20"/>
          <w:szCs w:val="20"/>
          <w:color w:val="auto"/>
        </w:rPr>
      </w:pPr>
      <w:r>
        <w:rPr>
          <w:rFonts w:ascii="Times New Roman" w:cs="Times New Roman" w:eastAsia="Times New Roman" w:hAnsi="Times New Roman"/>
          <w:sz w:val="18"/>
          <w:szCs w:val="18"/>
          <w:color w:val="auto"/>
        </w:rPr>
        <w:t>Our board of directors, upon the recommendation of our compensation &amp; people committee, determined that the 2025 annual equity award for our chief executive officer would be split approximately 40% in stock options, 20% in RSUs and 40% in PSUs based on grant date fair value. Our compensation &amp; people committee determined that the mix for the 2025 annual equity grants to our NEOs (other than the chief executive officer) be split approximately as follows: 50% in stock options, 25% in RSUs and 25% in PSUs, based on grant date fair value, for such NEOs. This equity mix excludes supplemental grants made to Ms. Jones and Mr. Burns in February 2025 (which are described below under “</w:t>
      </w:r>
      <w:r>
        <w:rPr>
          <w:rFonts w:ascii="Times New Roman" w:cs="Times New Roman" w:eastAsia="Times New Roman" w:hAnsi="Times New Roman"/>
          <w:sz w:val="18"/>
          <w:szCs w:val="18"/>
          <w:i w:val="1"/>
          <w:iCs w:val="1"/>
          <w:color w:val="auto"/>
        </w:rPr>
        <w:t>Supplemental 2025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Grants</w:t>
      </w:r>
      <w:r>
        <w:rPr>
          <w:rFonts w:ascii="Times New Roman" w:cs="Times New Roman" w:eastAsia="Times New Roman" w:hAnsi="Times New Roman"/>
          <w:sz w:val="18"/>
          <w:szCs w:val="18"/>
          <w:color w:val="auto"/>
        </w:rPr>
        <w:t>”). Dr. Viswanadhan commenced employment with the company in March 2025, and as a result did not receive annual stock option or 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in 2025, but did receive an annual PSU award in 2025 in accordance with the terms of his employment agreement. For information regarding the equity grants received by Dr. Viswanadhan upon his commencement of employment, see “</w:t>
      </w:r>
      <w:r>
        <w:rPr>
          <w:rFonts w:ascii="Times New Roman" w:cs="Times New Roman" w:eastAsia="Times New Roman" w:hAnsi="Times New Roman"/>
          <w:sz w:val="18"/>
          <w:szCs w:val="18"/>
          <w:i w:val="1"/>
          <w:iCs w:val="1"/>
          <w:color w:val="auto"/>
        </w:rPr>
        <w:t>New Hire Equity Grants</w:t>
      </w:r>
      <w:r>
        <w:rPr>
          <w:rFonts w:ascii="Times New Roman" w:cs="Times New Roman" w:eastAsia="Times New Roman" w:hAnsi="Times New Roman"/>
          <w:sz w:val="18"/>
          <w:szCs w:val="18"/>
          <w:color w:val="auto"/>
        </w:rPr>
        <w:t>” below.</w:t>
      </w:r>
    </w:p>
    <w:p>
      <w:pPr>
        <w:spacing w:after="0" w:line="219"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The compensation &amp; people committee and board of directors determined that the equity mix for 2025 annual grants was appropriate to ensure that compensation remains tied to stock performance and achievement of meaningful corporate milestones (through stock options and PSUs) and promotes retention (via RSUs that vest over time to deliver equivalent value to stock options while using fewer authorized shares). As noted below under “—</w:t>
      </w:r>
      <w:r>
        <w:rPr>
          <w:rFonts w:ascii="Times New Roman" w:cs="Times New Roman" w:eastAsia="Times New Roman" w:hAnsi="Times New Roman"/>
          <w:sz w:val="18"/>
          <w:szCs w:val="18"/>
          <w:i w:val="1"/>
          <w:iCs w:val="1"/>
          <w:color w:val="auto"/>
        </w:rPr>
        <w:t>2026 Executive Compensation Decisions</w:t>
      </w:r>
      <w:r>
        <w:rPr>
          <w:rFonts w:ascii="Times New Roman" w:cs="Times New Roman" w:eastAsia="Times New Roman" w:hAnsi="Times New Roman"/>
          <w:sz w:val="18"/>
          <w:szCs w:val="18"/>
          <w:color w:val="auto"/>
        </w:rPr>
        <w:t>”, our compensation &amp; people committee determined that annual equity awards for our NEOs, except for our chief executive officer, continue to be split approximately 50% in stock options, 25% in RSUs and 25% in PSUs, based on grant date fair value, for 2026, in order to closely align executive compensation with the achievement of meaningful corporate milestones. Our board of directors, upon the recommendation of our compensation &amp; people committee, determined that the annual equity award for our chief executive officer would continue to be split approximately 40% in stock options, 20% in RSUs and 40% in PSUs based on grant date fair value, for 2026, in order to further emphasize the performance-based component.</w:t>
      </w:r>
    </w:p>
    <w:p>
      <w:pPr>
        <w:spacing w:after="0" w:line="229" w:lineRule="exact"/>
        <w:rPr>
          <w:sz w:val="20"/>
          <w:szCs w:val="20"/>
          <w:color w:val="auto"/>
        </w:rPr>
      </w:pPr>
    </w:p>
    <w:p>
      <w:pPr>
        <w:ind w:left="120" w:right="200" w:firstLine="771"/>
        <w:spacing w:after="0" w:line="282" w:lineRule="auto"/>
        <w:rPr>
          <w:sz w:val="20"/>
          <w:szCs w:val="20"/>
          <w:color w:val="auto"/>
        </w:rPr>
      </w:pPr>
      <w:r>
        <w:rPr>
          <w:rFonts w:ascii="Times New Roman" w:cs="Times New Roman" w:eastAsia="Times New Roman" w:hAnsi="Times New Roman"/>
          <w:sz w:val="18"/>
          <w:szCs w:val="18"/>
          <w:color w:val="auto"/>
        </w:rPr>
        <w:t>None of our NEOs are currently party to an employment agreement that provides for an automatic award of equity grants, other than initial equity awards made in connection with the start of employment.</w:t>
      </w:r>
    </w:p>
    <w:p>
      <w:pPr>
        <w:spacing w:after="0" w:line="189" w:lineRule="exact"/>
        <w:rPr>
          <w:sz w:val="20"/>
          <w:szCs w:val="20"/>
          <w:color w:val="auto"/>
        </w:rPr>
      </w:pPr>
    </w:p>
    <w:p>
      <w:pPr>
        <w:ind w:left="120" w:right="40" w:firstLine="771"/>
        <w:spacing w:after="0" w:line="255" w:lineRule="auto"/>
        <w:rPr>
          <w:sz w:val="20"/>
          <w:szCs w:val="20"/>
          <w:color w:val="auto"/>
        </w:rPr>
      </w:pPr>
      <w:r>
        <w:rPr>
          <w:rFonts w:ascii="Times New Roman" w:cs="Times New Roman" w:eastAsia="Times New Roman" w:hAnsi="Times New Roman"/>
          <w:sz w:val="18"/>
          <w:szCs w:val="18"/>
          <w:color w:val="auto"/>
        </w:rPr>
        <w:t>In determining the size of the annual stock option, RSU and PSU awards to our NEOs, our compensation &amp; people committee, with the assistance from Aon, considers our company performance, individual performance, the potential for enhancing the creation of value for our stockholders, the amount of equity previously awarded to the NEOs and the vesting terms of such prior awards, the company’s broader organizational equity needs and overall dilution, as well as industry and peer group 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 Annual equity awards are typically granted to our NEOs effective March 1 of the applicable year.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In February 2025, our compensation &amp; people committee (or our board of directors, upon recommendation of our compensation &amp; people committee, with respect to our chief executive officer) approved annual equity incentive awards in the form of stock options, RSUs and PSUs, as applicable, to our NEOs, effective March 1, 2025, in the amounts set forth opposite their respective names in the table below. In the case of each award, these grants were based on the NEO’s existing equity incentive holdings, level of responsibility within our company, equity ownership in relation to the peer group benchmark, and the compensation &amp; people committee’s assessment (or our board of directors’ assessment, in the case of our chief executive officer) of the NEO’s individual performance and our overall company performance, in each case without reference to any specific metric.</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7"/>
              </w:rPr>
              <w:t>2025 Annual Stock</w:t>
            </w:r>
          </w:p>
        </w:tc>
        <w:tc>
          <w:tcPr>
            <w:tcW w:w="23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2025 Annual RSU</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2025 Annual PSU</w:t>
            </w:r>
          </w:p>
        </w:tc>
      </w:tr>
      <w:tr>
        <w:trPr>
          <w:trHeight w:val="238"/>
        </w:trPr>
        <w:tc>
          <w:tcPr>
            <w:tcW w:w="4760" w:type="dxa"/>
            <w:vAlign w:val="bottom"/>
          </w:tcPr>
          <w:p>
            <w:pPr>
              <w:spacing w:after="0"/>
              <w:rPr>
                <w:sz w:val="20"/>
                <w:szCs w:val="20"/>
                <w:color w:val="auto"/>
              </w:rPr>
            </w:pP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8"/>
              </w:rPr>
              <w:t>Option Awards (1)</w:t>
            </w:r>
          </w:p>
        </w:tc>
        <w:tc>
          <w:tcPr>
            <w:tcW w:w="23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Awards (2)</w:t>
            </w: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Awards (3)</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10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43,500</w:t>
            </w:r>
          </w:p>
        </w:tc>
        <w:tc>
          <w:tcPr>
            <w:tcW w:w="23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12,000</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w:t>
            </w:r>
          </w:p>
        </w:tc>
        <w:tc>
          <w:tcPr>
            <w:tcW w:w="24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43,500</w:t>
            </w:r>
          </w:p>
        </w:tc>
        <w:tc>
          <w:tcPr>
            <w:tcW w:w="23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12,000</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Sarah Gheuens, M.D., Ph.D.</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43,500</w:t>
            </w:r>
          </w:p>
        </w:tc>
        <w:tc>
          <w:tcPr>
            <w:tcW w:w="23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12,000</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Viswanadhan, Pharm.D(4)</w:t>
            </w:r>
          </w:p>
        </w:tc>
        <w:tc>
          <w:tcPr>
            <w:tcW w:w="24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r>
    </w:tbl>
    <w:p>
      <w:pPr>
        <w:spacing w:after="0" w:line="279" w:lineRule="exact"/>
        <w:rPr>
          <w:sz w:val="20"/>
          <w:szCs w:val="20"/>
          <w:color w:val="auto"/>
        </w:rPr>
      </w:pPr>
    </w:p>
    <w:p>
      <w:pPr>
        <w:ind w:left="880" w:right="220" w:hanging="764"/>
        <w:spacing w:after="0" w:line="266"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an exercise price of $33.12 per share, the closing price on the date of grant. The options are subject to time-based vesting, with 25% of the shares underlying the award vesting on the first anniversary of the grant date and the remaining shares vesting monthly thereafter in equal increments over 36 months, subject to continued service.</w:t>
      </w:r>
    </w:p>
    <w:p>
      <w:pPr>
        <w:spacing w:after="0" w:line="256" w:lineRule="exact"/>
        <w:rPr>
          <w:rFonts w:ascii="Times New Roman" w:cs="Times New Roman" w:eastAsia="Times New Roman" w:hAnsi="Times New Roman"/>
          <w:sz w:val="18"/>
          <w:szCs w:val="18"/>
          <w:color w:val="auto"/>
        </w:rPr>
      </w:pPr>
    </w:p>
    <w:p>
      <w:pPr>
        <w:ind w:left="880" w:right="220" w:hanging="764"/>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time-based vesting, with one-third of the shares of common stock underlying the RSUs vesting on the first, second and third anniversaries of the grant date, subject to continued service.</w:t>
      </w:r>
    </w:p>
    <w:p>
      <w:pPr>
        <w:spacing w:after="0" w:line="242" w:lineRule="exact"/>
        <w:rPr>
          <w:rFonts w:ascii="Times New Roman" w:cs="Times New Roman" w:eastAsia="Times New Roman" w:hAnsi="Times New Roman"/>
          <w:sz w:val="18"/>
          <w:szCs w:val="18"/>
          <w:color w:val="auto"/>
        </w:rPr>
      </w:pPr>
    </w:p>
    <w:p>
      <w:pPr>
        <w:ind w:left="880" w:right="120" w:hanging="764"/>
        <w:spacing w:after="0" w:line="258"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vest as to one-quarter (or one-half as it relates to Mr. Goff) of the underlying shares of common stock upon the achievement of a specified research and development milestone, as to an additional one-quarter of the underlying shares of common stock upon the achievement of a specified clinical milestone and as to one-half (or one-quarter as it relates to Mr. Goff) of the underlying shares of common stock upon the achievement of a second specified clinical milestone, in each case subject to continued service. The terms of the PSUs are more fully described below under “2025 PSU Program.”</w:t>
      </w:r>
    </w:p>
    <w:p>
      <w:pPr>
        <w:spacing w:after="0" w:line="264" w:lineRule="exact"/>
        <w:rPr>
          <w:rFonts w:ascii="Times New Roman" w:cs="Times New Roman" w:eastAsia="Times New Roman" w:hAnsi="Times New Roman"/>
          <w:sz w:val="18"/>
          <w:szCs w:val="18"/>
          <w:color w:val="auto"/>
        </w:rPr>
      </w:pPr>
    </w:p>
    <w:p>
      <w:pPr>
        <w:ind w:left="880" w:right="300" w:hanging="764"/>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Viswanadhan did not receive annual stock option or RSU awards in 2025, but did receive an annual PSU award in accordance with his employment agreement.</w:t>
      </w:r>
    </w:p>
    <w:p>
      <w:pPr>
        <w:spacing w:after="0" w:line="186"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Hire Equity Grants</w:t>
      </w:r>
    </w:p>
    <w:p>
      <w:pPr>
        <w:spacing w:after="0" w:line="268" w:lineRule="exact"/>
        <w:rPr>
          <w:sz w:val="20"/>
          <w:szCs w:val="20"/>
          <w:color w:val="auto"/>
        </w:rPr>
      </w:pPr>
    </w:p>
    <w:p>
      <w:pPr>
        <w:jc w:val="both"/>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In connection with the start of Dr. Viswanadhan’s employment on March 5, 2025, the compensation &amp; people committee granted him equity awards in the form of stock options, RSUs and PSUs, as reflected in the table below. These awards were granted outside our 2023 Stock Incentive Plan, as amended, as inducements material to Dr. Viswanadhan’s entry into employment with us in accordance with Nasdaq Listing Rule 5635(c)(4), and were designed to be competitive with market practice.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3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New Hire Stock</w:t>
            </w:r>
          </w:p>
        </w:tc>
        <w:tc>
          <w:tcPr>
            <w:tcW w:w="20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w w:val="98"/>
              </w:rPr>
              <w:t>New Hire RSU</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New Hire PSU</w:t>
            </w:r>
          </w:p>
        </w:tc>
      </w:tr>
      <w:tr>
        <w:trPr>
          <w:trHeight w:val="238"/>
        </w:trPr>
        <w:tc>
          <w:tcPr>
            <w:tcW w:w="5460" w:type="dxa"/>
            <w:vAlign w:val="bottom"/>
          </w:tcPr>
          <w:p>
            <w:pPr>
              <w:spacing w:after="0"/>
              <w:rPr>
                <w:sz w:val="20"/>
                <w:szCs w:val="20"/>
                <w:color w:val="auto"/>
              </w:rPr>
            </w:pPr>
          </w:p>
        </w:tc>
        <w:tc>
          <w:tcPr>
            <w:tcW w:w="23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w w:val="97"/>
              </w:rPr>
              <w:t>Option Awards (1)</w:t>
            </w: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Awards (2)</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 (3)</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Viswanadhan, Pharm.D</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55,374</w:t>
            </w:r>
          </w:p>
        </w:tc>
        <w:tc>
          <w:tcPr>
            <w:tcW w:w="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79" w:lineRule="exact"/>
        <w:rPr>
          <w:sz w:val="20"/>
          <w:szCs w:val="20"/>
          <w:color w:val="auto"/>
        </w:rPr>
      </w:pPr>
    </w:p>
    <w:p>
      <w:pPr>
        <w:ind w:left="880" w:right="220" w:hanging="764"/>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have an exercise price of $33.95 per share, the closing price on the date of grant. The options are subject to time-based vesting, with 25% of the shares underlying the award vesting on the first anniversary of the grant date and the remaining shares vesting monthly thereafter in equal increments over 36 months, subject to continued service.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80" w:right="220" w:hanging="764"/>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time-based vesting, with one-third of the shares of common stock underlying the RSUs vesting on the first, second and third anniversaries of the grant date, subject to continued service.</w:t>
      </w:r>
    </w:p>
    <w:p>
      <w:pPr>
        <w:spacing w:after="0" w:line="242" w:lineRule="exact"/>
        <w:rPr>
          <w:rFonts w:ascii="Times New Roman" w:cs="Times New Roman" w:eastAsia="Times New Roman" w:hAnsi="Times New Roman"/>
          <w:sz w:val="18"/>
          <w:szCs w:val="18"/>
          <w:color w:val="auto"/>
        </w:rPr>
      </w:pPr>
    </w:p>
    <w:p>
      <w:pPr>
        <w:ind w:left="880" w:right="60" w:hanging="764"/>
        <w:spacing w:after="0" w:line="266"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vest as to one-half of the underlying shares of common stock upon the achievement of a specified clinical milestone, and as to an additional one-half of the underlying shares of common stock upon the achievement of a revenue milestone, in each case subject to continued service. The terms of the PSUs are more fully described below under “2024 PSU Program.”</w:t>
      </w:r>
    </w:p>
    <w:p>
      <w:pPr>
        <w:spacing w:after="0" w:line="20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Supplemental 2025 Equity Grants</w:t>
      </w:r>
    </w:p>
    <w:p>
      <w:pPr>
        <w:spacing w:after="0" w:line="268"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In addition to the annual equity grants outlined above, in February 2025, the compensation &amp; people committee granted to Ms. Jones and Mr. Burns the RSUs set forth in the table below, effective March 1, 2025, in order to recognize their significant contribution to the company’s sale of the vorasidenib royalty rights in August 2024, which resulted in $905 million of upfront proceeds to the company and significantly strengthened the company’s balance sheet.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RSU</w:t>
            </w:r>
          </w:p>
        </w:tc>
      </w:tr>
      <w:tr>
        <w:trPr>
          <w:trHeight w:val="238"/>
        </w:trPr>
        <w:tc>
          <w:tcPr>
            <w:tcW w:w="10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Awards (1)</w:t>
            </w:r>
          </w:p>
        </w:tc>
      </w:tr>
      <w:tr>
        <w:trPr>
          <w:trHeight w:val="210"/>
        </w:trPr>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James Burns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11,759</w:t>
            </w:r>
          </w:p>
        </w:tc>
      </w:tr>
    </w:tbl>
    <w:p>
      <w:pPr>
        <w:spacing w:after="0" w:line="260" w:lineRule="exact"/>
        <w:rPr>
          <w:sz w:val="20"/>
          <w:szCs w:val="20"/>
          <w:color w:val="auto"/>
        </w:rPr>
      </w:pPr>
    </w:p>
    <w:p>
      <w:pPr>
        <w:ind w:left="880" w:right="220" w:hanging="764"/>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time-based vesting, with one-third of the shares of common stock underlying the RSUs vesting on the first, second and third anniversaries of the grant date, subject to continued service.</w:t>
      </w:r>
    </w:p>
    <w:p>
      <w:pPr>
        <w:spacing w:after="0" w:line="20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Units (PSUs)</w:t>
      </w:r>
    </w:p>
    <w:p>
      <w:pPr>
        <w:spacing w:after="0" w:line="254" w:lineRule="exact"/>
        <w:rPr>
          <w:sz w:val="20"/>
          <w:szCs w:val="20"/>
          <w:color w:val="auto"/>
        </w:rPr>
      </w:pPr>
    </w:p>
    <w:p>
      <w:pPr>
        <w:ind w:left="120" w:right="160" w:firstLine="771"/>
        <w:spacing w:after="0" w:line="258" w:lineRule="auto"/>
        <w:rPr>
          <w:sz w:val="20"/>
          <w:szCs w:val="20"/>
          <w:color w:val="auto"/>
        </w:rPr>
      </w:pPr>
      <w:r>
        <w:rPr>
          <w:rFonts w:ascii="Times New Roman" w:cs="Times New Roman" w:eastAsia="Times New Roman" w:hAnsi="Times New Roman"/>
          <w:sz w:val="18"/>
          <w:szCs w:val="18"/>
          <w:color w:val="auto"/>
        </w:rPr>
        <w:t>In addition to annual stock option and RSU grants, we grant PSUs to our executives, including our NEOs, in order to further align executive incentives with critical value drivers for the business. We have multiple PSU programs for our executives under which PSUs will vest only after the achievement of specified performance milestones, as described below. Beginning in 2022, our compensation &amp; people committee formally introduced PSUs as part of the annual equity grants to our executives, including our NEOs. Our PSU program milestones for the past five years are summarized below.</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2022 PSU Program</w:t>
      </w:r>
    </w:p>
    <w:p>
      <w:pPr>
        <w:spacing w:after="0" w:line="252" w:lineRule="exact"/>
        <w:rPr>
          <w:sz w:val="20"/>
          <w:szCs w:val="20"/>
          <w:color w:val="auto"/>
        </w:rPr>
      </w:pPr>
    </w:p>
    <w:p>
      <w:pPr>
        <w:ind w:left="120" w:right="220" w:firstLine="771"/>
        <w:spacing w:after="0" w:line="266" w:lineRule="auto"/>
        <w:rPr>
          <w:sz w:val="20"/>
          <w:szCs w:val="20"/>
          <w:color w:val="auto"/>
        </w:rPr>
      </w:pPr>
      <w:r>
        <w:rPr>
          <w:rFonts w:ascii="Times New Roman" w:cs="Times New Roman" w:eastAsia="Times New Roman" w:hAnsi="Times New Roman"/>
          <w:sz w:val="18"/>
          <w:szCs w:val="18"/>
          <w:color w:val="auto"/>
        </w:rPr>
        <w:t>The PSUs that we granted to our then-current NEOs in 2022 (including to Ms. Jones upon commencement of her employment in 2022, and other than Mr. Goff), vest as to one-half of the underlying shares upon our compensation &amp; people committee’s determination of the achievement of each of the following milestones, the performance period for which expires as set forth below:</w:t>
      </w:r>
    </w:p>
    <w:p>
      <w:pPr>
        <w:spacing w:after="0" w:line="257" w:lineRule="exact"/>
        <w:rPr>
          <w:sz w:val="20"/>
          <w:szCs w:val="20"/>
          <w:color w:val="auto"/>
        </w:rPr>
      </w:pPr>
    </w:p>
    <w:p>
      <w:pPr>
        <w:ind w:left="1540" w:right="20" w:hanging="331"/>
        <w:spacing w:after="0" w:line="261"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written notice by the FDA of its acceptance of a company-sponsored IND for a development candidate in a non-PKR activator program prior to December 31, 2023 (</w:t>
      </w:r>
      <w:r>
        <w:rPr>
          <w:rFonts w:ascii="Times New Roman" w:cs="Times New Roman" w:eastAsia="Times New Roman" w:hAnsi="Times New Roman"/>
          <w:sz w:val="18"/>
          <w:szCs w:val="18"/>
          <w:i w:val="1"/>
          <w:iCs w:val="1"/>
          <w:color w:val="auto"/>
        </w:rPr>
        <w:t>in December 2023, following submission of the IND for AG-181, the compensation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people committee extended the performance period until January 31, 2024 to allow 30 days for FDA review; milestone determined to be achieved by the compensation &amp; people committee in January 2024</w:t>
      </w:r>
      <w:r>
        <w:rPr>
          <w:rFonts w:ascii="Times New Roman" w:cs="Times New Roman" w:eastAsia="Times New Roman" w:hAnsi="Times New Roman"/>
          <w:sz w:val="18"/>
          <w:szCs w:val="18"/>
          <w:color w:val="auto"/>
        </w:rPr>
        <w:t>); and</w:t>
      </w:r>
    </w:p>
    <w:p>
      <w:pPr>
        <w:spacing w:after="0" w:line="258" w:lineRule="exact"/>
        <w:rPr>
          <w:rFonts w:ascii="Times New Roman" w:cs="Times New Roman" w:eastAsia="Times New Roman" w:hAnsi="Times New Roman"/>
          <w:sz w:val="18"/>
          <w:szCs w:val="18"/>
          <w:color w:val="auto"/>
        </w:rPr>
      </w:pPr>
    </w:p>
    <w:p>
      <w:pPr>
        <w:ind w:left="1540" w:right="100" w:hanging="331"/>
        <w:spacing w:after="0" w:line="284"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primary endpoint of the mitapivat phase 2 SCD study (RISE UP) by December 31, 2025 (</w:t>
      </w:r>
      <w:r>
        <w:rPr>
          <w:rFonts w:ascii="Times New Roman" w:cs="Times New Roman" w:eastAsia="Times New Roman" w:hAnsi="Times New Roman"/>
          <w:sz w:val="18"/>
          <w:szCs w:val="18"/>
          <w:i w:val="1"/>
          <w:iCs w:val="1"/>
          <w:color w:val="auto"/>
        </w:rPr>
        <w:t>milestone determined to be achieved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the compensation &amp; people committee in June 2023</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2022 PSU Awards to Chief Executive Officer</w:t>
      </w:r>
    </w:p>
    <w:p>
      <w:pPr>
        <w:spacing w:after="0" w:line="252"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The PSUs that we granted to Mr. Goff in August 2022 in connection with his appointment as our chief executive officer vest as to the underlying shares upon our compensation &amp; people committee’s determination of the achievement of each of the following milestones, the performance period and relative weight for each milestone as set forth below:</w:t>
      </w:r>
    </w:p>
    <w:p>
      <w:pPr>
        <w:spacing w:after="0" w:line="257" w:lineRule="exact"/>
        <w:rPr>
          <w:sz w:val="20"/>
          <w:szCs w:val="20"/>
          <w:color w:val="auto"/>
        </w:rPr>
      </w:pPr>
    </w:p>
    <w:p>
      <w:pPr>
        <w:ind w:left="1540" w:right="220" w:hanging="331"/>
        <w:spacing w:after="0" w:line="261"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the FDA of the first initial drug application, or IND, submitted by the company for a development candidate in a non-pyruvate kinase-R, or PKR, activator program by December 31, 2023 (</w:t>
      </w:r>
      <w:r>
        <w:rPr>
          <w:rFonts w:ascii="Times New Roman" w:cs="Times New Roman" w:eastAsia="Times New Roman" w:hAnsi="Times New Roman"/>
          <w:sz w:val="18"/>
          <w:szCs w:val="18"/>
          <w:i w:val="1"/>
          <w:iCs w:val="1"/>
          <w:color w:val="auto"/>
        </w:rPr>
        <w:t>10% of underlying shares; in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the compensation &amp; people committee extended the performance period until January 31, 2024 to allow 30 days for FDA review; milestone determined to be achieved by the compensation &amp; people committee in January 2024</w:t>
      </w:r>
      <w:r>
        <w:rPr>
          <w:rFonts w:ascii="Times New Roman" w:cs="Times New Roman" w:eastAsia="Times New Roman" w:hAnsi="Times New Roman"/>
          <w:sz w:val="18"/>
          <w:szCs w:val="18"/>
          <w:color w:val="auto"/>
        </w:rPr>
        <w:t>);</w:t>
      </w:r>
    </w:p>
    <w:p>
      <w:pPr>
        <w:spacing w:after="0" w:line="258" w:lineRule="exact"/>
        <w:rPr>
          <w:rFonts w:ascii="Times New Roman" w:cs="Times New Roman" w:eastAsia="Times New Roman" w:hAnsi="Times New Roman"/>
          <w:sz w:val="18"/>
          <w:szCs w:val="18"/>
          <w:color w:val="auto"/>
        </w:rPr>
      </w:pPr>
    </w:p>
    <w:p>
      <w:pPr>
        <w:ind w:left="1540" w:right="140" w:hanging="331"/>
        <w:spacing w:after="0" w:line="284"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one of two pivotal trials of mitapivat in thalassemia has met its primary endpoint by December 31, 2024 (</w:t>
      </w:r>
      <w:r>
        <w:rPr>
          <w:rFonts w:ascii="Times New Roman" w:cs="Times New Roman" w:eastAsia="Times New Roman" w:hAnsi="Times New Roman"/>
          <w:sz w:val="18"/>
          <w:szCs w:val="18"/>
          <w:i w:val="1"/>
          <w:iCs w:val="1"/>
          <w:color w:val="auto"/>
        </w:rPr>
        <w:t>15%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underlying shares; milestone determined to be achieved by the compensation &amp; people committee in January 2024</w:t>
      </w:r>
      <w:r>
        <w:rPr>
          <w:rFonts w:ascii="Times New Roman" w:cs="Times New Roman" w:eastAsia="Times New Roman" w:hAnsi="Times New Roman"/>
          <w:sz w:val="18"/>
          <w:szCs w:val="18"/>
          <w:color w:val="auto"/>
        </w:rPr>
        <w:t>);</w:t>
      </w:r>
    </w:p>
    <w:p>
      <w:pPr>
        <w:spacing w:after="0" w:line="24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second of two pivotal trials of mitapivat in thalassemia has met its primary endpoint by December 31, 2024 (</w:t>
      </w:r>
      <w:r>
        <w:rPr>
          <w:rFonts w:ascii="Times New Roman" w:cs="Times New Roman" w:eastAsia="Times New Roman" w:hAnsi="Times New Roman"/>
          <w:sz w:val="18"/>
          <w:szCs w:val="18"/>
          <w:i w:val="1"/>
          <w:iCs w:val="1"/>
          <w:color w:val="auto"/>
        </w:rPr>
        <w:t>15% of underlying shares; milestone determined to be achieved by the compensation &amp; people committee in June 2024</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the FDA of a second IND submitted by the company for a development candidate in a non-PKR activator program or company in-licensing of an FDA cleared or approved IND for a non-PKR activator program by December 31, 2025 (</w:t>
      </w:r>
      <w:r>
        <w:rPr>
          <w:rFonts w:ascii="Times New Roman" w:cs="Times New Roman" w:eastAsia="Times New Roman" w:hAnsi="Times New Roman"/>
          <w:sz w:val="18"/>
          <w:szCs w:val="18"/>
          <w:i w:val="1"/>
          <w:iCs w:val="1"/>
          <w:color w:val="auto"/>
        </w:rPr>
        <w:t>15% of underlying shares; milestone determined to be achieved by the compensation &amp; people committee in June 2025</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color w:val="auto"/>
        </w:rPr>
      </w:pPr>
    </w:p>
    <w:p>
      <w:pPr>
        <w:ind w:left="1540" w:right="60" w:hanging="331"/>
        <w:spacing w:after="0" w:line="284"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primary endpoint of the mitapivat phase 2 SCD study (RISE UP) by December 31, 2025 (</w:t>
      </w:r>
      <w:r>
        <w:rPr>
          <w:rFonts w:ascii="Times New Roman" w:cs="Times New Roman" w:eastAsia="Times New Roman" w:hAnsi="Times New Roman"/>
          <w:sz w:val="18"/>
          <w:szCs w:val="18"/>
          <w:i w:val="1"/>
          <w:iCs w:val="1"/>
          <w:color w:val="auto"/>
        </w:rPr>
        <w:t>15% of underlying shares;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determined to be achieved by the compensation &amp; people committee in June 2023</w:t>
      </w:r>
      <w:r>
        <w:rPr>
          <w:rFonts w:ascii="Times New Roman" w:cs="Times New Roman" w:eastAsia="Times New Roman" w:hAnsi="Times New Roman"/>
          <w:sz w:val="18"/>
          <w:szCs w:val="18"/>
          <w:color w:val="auto"/>
        </w:rPr>
        <w:t>);</w:t>
      </w:r>
    </w:p>
    <w:p>
      <w:pPr>
        <w:spacing w:after="0" w:line="241" w:lineRule="exact"/>
        <w:rPr>
          <w:rFonts w:ascii="Times New Roman" w:cs="Times New Roman" w:eastAsia="Times New Roman" w:hAnsi="Times New Roman"/>
          <w:sz w:val="18"/>
          <w:szCs w:val="18"/>
          <w:color w:val="auto"/>
        </w:rPr>
      </w:pPr>
    </w:p>
    <w:p>
      <w:pPr>
        <w:ind w:left="1540" w:right="140" w:hanging="331"/>
        <w:spacing w:after="0" w:line="312" w:lineRule="auto"/>
        <w:tabs>
          <w:tab w:leader="none" w:pos="1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by the company of written notice from the FDA of its approval of mitapivat for use in thalassemia by December 31, 2026 (</w:t>
      </w:r>
      <w:r>
        <w:rPr>
          <w:rFonts w:ascii="Times New Roman" w:cs="Times New Roman" w:eastAsia="Times New Roman" w:hAnsi="Times New Roman"/>
          <w:sz w:val="17"/>
          <w:szCs w:val="17"/>
          <w:i w:val="1"/>
          <w:iCs w:val="1"/>
          <w:color w:val="auto"/>
        </w:rPr>
        <w:t>15% of underlying shares; milestone determined to be achieved by the compensation &amp; people committee in December 2025</w:t>
      </w:r>
      <w:r>
        <w:rPr>
          <w:rFonts w:ascii="Times New Roman" w:cs="Times New Roman" w:eastAsia="Times New Roman" w:hAnsi="Times New Roman"/>
          <w:sz w:val="17"/>
          <w:szCs w:val="17"/>
          <w:color w:val="auto"/>
        </w:rPr>
        <w:t>); and</w:t>
      </w:r>
    </w:p>
    <w:p>
      <w:pPr>
        <w:spacing w:after="0" w:line="220" w:lineRule="exact"/>
        <w:rPr>
          <w:rFonts w:ascii="Times New Roman" w:cs="Times New Roman" w:eastAsia="Times New Roman" w:hAnsi="Times New Roman"/>
          <w:sz w:val="17"/>
          <w:szCs w:val="17"/>
          <w:color w:val="auto"/>
        </w:rPr>
      </w:pPr>
    </w:p>
    <w:p>
      <w:pPr>
        <w:jc w:val="both"/>
        <w:ind w:left="1540" w:right="20" w:hanging="331"/>
        <w:spacing w:after="0" w:line="266"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positive results in a phase 3 clinical trial of mitapivat sufficient to support a supplemental NDA filing in SCD in the United States by December 31, 2026 (</w:t>
      </w:r>
      <w:r>
        <w:rPr>
          <w:rFonts w:ascii="Times New Roman" w:cs="Times New Roman" w:eastAsia="Times New Roman" w:hAnsi="Times New Roman"/>
          <w:sz w:val="18"/>
          <w:szCs w:val="18"/>
          <w:i w:val="1"/>
          <w:iCs w:val="1"/>
          <w:color w:val="auto"/>
        </w:rPr>
        <w:t>15% of underlying shares; milestone determined to be achieved by the compensation &amp; people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 in April 2026</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2023 PSU Program</w:t>
      </w:r>
    </w:p>
    <w:p>
      <w:pPr>
        <w:spacing w:after="0" w:line="266"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The PSUs that we granted to our then-current NEOs in March 2023 vest as to one-half of the underlying shares upon our compensation &amp; people committee’s determination of the achievement of each of the following milestones (which are also included in the milestones for Mr. Goff’s 2022 PSU awards, described above), with the performance period as set forth below:</w:t>
      </w:r>
    </w:p>
    <w:p>
      <w:pPr>
        <w:spacing w:after="0" w:line="257" w:lineRule="exact"/>
        <w:rPr>
          <w:sz w:val="20"/>
          <w:szCs w:val="20"/>
          <w:color w:val="auto"/>
        </w:rPr>
      </w:pPr>
    </w:p>
    <w:p>
      <w:pPr>
        <w:ind w:left="1540" w:right="120" w:hanging="331"/>
        <w:spacing w:after="0" w:line="266"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by the FDA of a second IND submitted by the company for a development candidate in a non-PKR activator program or company in-licensing of an FDA cleared or approved IND for a non-PKR activator program by December 31, 2025 (</w:t>
      </w:r>
      <w:r>
        <w:rPr>
          <w:rFonts w:ascii="Times New Roman" w:cs="Times New Roman" w:eastAsia="Times New Roman" w:hAnsi="Times New Roman"/>
          <w:sz w:val="18"/>
          <w:szCs w:val="18"/>
          <w:i w:val="1"/>
          <w:iCs w:val="1"/>
          <w:color w:val="auto"/>
        </w:rPr>
        <w:t>milestone determined to be achieved by the compensation &amp; people committee in June 2025</w:t>
      </w:r>
      <w:r>
        <w:rPr>
          <w:rFonts w:ascii="Times New Roman" w:cs="Times New Roman" w:eastAsia="Times New Roman" w:hAnsi="Times New Roman"/>
          <w:sz w:val="18"/>
          <w:szCs w:val="18"/>
          <w:color w:val="auto"/>
        </w:rPr>
        <w: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240" w:hanging="331"/>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company of written notice from the FDA of its approval of mitapivat for use in thalassemia by December 31, 2026 (</w:t>
      </w:r>
      <w:r>
        <w:rPr>
          <w:rFonts w:ascii="Times New Roman" w:cs="Times New Roman" w:eastAsia="Times New Roman" w:hAnsi="Times New Roman"/>
          <w:sz w:val="18"/>
          <w:szCs w:val="18"/>
          <w:i w:val="1"/>
          <w:iCs w:val="1"/>
          <w:color w:val="auto"/>
        </w:rPr>
        <w:t>milestone determined to be achieved by the compensation &amp; people committee in December 2025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2024 PSU Program</w:t>
      </w:r>
    </w:p>
    <w:p>
      <w:pPr>
        <w:spacing w:after="0" w:line="266"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The PSUs that we granted to our then-current NEOs in March 2024 vest as to the underlying shares upon our compensation &amp; people committee’s determination of the achievement of each of the following milestones, the performance period and relative weight for each milestone as set forth below:</w:t>
      </w:r>
    </w:p>
    <w:p>
      <w:pPr>
        <w:spacing w:after="0" w:line="257" w:lineRule="exact"/>
        <w:rPr>
          <w:sz w:val="20"/>
          <w:szCs w:val="20"/>
          <w:color w:val="auto"/>
        </w:rPr>
      </w:pPr>
    </w:p>
    <w:p>
      <w:pPr>
        <w:ind w:left="1540" w:right="40" w:hanging="331"/>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positive results in a phase 3 clinical trial of mitapivat sufficient to support a supplemental NDA filing in SCD in the United States by December 31, 2026 (</w:t>
      </w:r>
      <w:r>
        <w:rPr>
          <w:rFonts w:ascii="Times New Roman" w:cs="Times New Roman" w:eastAsia="Times New Roman" w:hAnsi="Times New Roman"/>
          <w:sz w:val="18"/>
          <w:szCs w:val="18"/>
          <w:i w:val="1"/>
          <w:iCs w:val="1"/>
          <w:color w:val="auto"/>
        </w:rPr>
        <w:t>25% of underlying shares for Mr. Goff, 50% of underlying shares for our other NEOs;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milestone determined to be achieved by the compensation &amp; people committee in April 2026</w:t>
      </w:r>
      <w:r>
        <w:rPr>
          <w:rFonts w:ascii="Times New Roman" w:cs="Times New Roman" w:eastAsia="Times New Roman" w:hAnsi="Times New Roman"/>
          <w:sz w:val="18"/>
          <w:szCs w:val="18"/>
          <w:color w:val="auto"/>
        </w:rPr>
        <w:t>); and</w:t>
      </w:r>
    </w:p>
    <w:p>
      <w:pPr>
        <w:spacing w:after="0" w:line="256"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110% of thalassemia revenue target for the first full 12 months following FDA approval of mitapivat for treatment of thalassemia by December 31, 2027 (</w:t>
      </w:r>
      <w:r>
        <w:rPr>
          <w:rFonts w:ascii="Times New Roman" w:cs="Times New Roman" w:eastAsia="Times New Roman" w:hAnsi="Times New Roman"/>
          <w:sz w:val="18"/>
          <w:szCs w:val="18"/>
          <w:i w:val="1"/>
          <w:iCs w:val="1"/>
          <w:color w:val="auto"/>
        </w:rPr>
        <w:t>75% of underlying shares for Mr. Goff, 50% of underlying shares for our other NEOs;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yet achieved</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20" w:right="100" w:firstLine="771"/>
        <w:spacing w:after="0" w:line="282" w:lineRule="auto"/>
        <w:rPr>
          <w:sz w:val="20"/>
          <w:szCs w:val="20"/>
          <w:color w:val="auto"/>
        </w:rPr>
      </w:pPr>
      <w:r>
        <w:rPr>
          <w:rFonts w:ascii="Times New Roman" w:cs="Times New Roman" w:eastAsia="Times New Roman" w:hAnsi="Times New Roman"/>
          <w:sz w:val="18"/>
          <w:szCs w:val="18"/>
          <w:color w:val="auto"/>
        </w:rPr>
        <w:t>As part of Dr. Viswanadhan’s new hire equity awards granted in March 2025, he was granted PSUs with the same performance conditions as the PSUs under the 2024 PSU Program.</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2025 PSU Program</w:t>
      </w:r>
    </w:p>
    <w:p>
      <w:pPr>
        <w:spacing w:after="0" w:line="266" w:lineRule="exact"/>
        <w:rPr>
          <w:sz w:val="20"/>
          <w:szCs w:val="20"/>
          <w:color w:val="auto"/>
        </w:rPr>
      </w:pPr>
    </w:p>
    <w:p>
      <w:pPr>
        <w:ind w:left="120" w:right="60" w:firstLine="771"/>
        <w:spacing w:after="0" w:line="312" w:lineRule="auto"/>
        <w:rPr>
          <w:sz w:val="20"/>
          <w:szCs w:val="20"/>
          <w:color w:val="auto"/>
        </w:rPr>
      </w:pPr>
      <w:r>
        <w:rPr>
          <w:rFonts w:ascii="Times New Roman" w:cs="Times New Roman" w:eastAsia="Times New Roman" w:hAnsi="Times New Roman"/>
          <w:sz w:val="17"/>
          <w:szCs w:val="17"/>
          <w:color w:val="auto"/>
        </w:rPr>
        <w:t>The PSUs that we granted to our NEOs in March 2025 vest as to the underlying shares upon our compensation &amp; people committee’s determination of the achievement of each of the following milestones, the performance period and relative weight for each milestone as set forth below:</w:t>
      </w:r>
    </w:p>
    <w:p>
      <w:pPr>
        <w:spacing w:after="0" w:line="219" w:lineRule="exact"/>
        <w:rPr>
          <w:sz w:val="20"/>
          <w:szCs w:val="20"/>
          <w:color w:val="auto"/>
        </w:rPr>
      </w:pPr>
    </w:p>
    <w:p>
      <w:pPr>
        <w:ind w:left="1540" w:right="600" w:hanging="331"/>
        <w:spacing w:after="0" w:line="284"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patient enrolled in a phase 3 clinical trial of tebapivat in LR MDS by December 31, 2028 (</w:t>
      </w:r>
      <w:r>
        <w:rPr>
          <w:rFonts w:ascii="Times New Roman" w:cs="Times New Roman" w:eastAsia="Times New Roman" w:hAnsi="Times New Roman"/>
          <w:sz w:val="18"/>
          <w:szCs w:val="18"/>
          <w:i w:val="1"/>
          <w:iCs w:val="1"/>
          <w:color w:val="auto"/>
        </w:rPr>
        <w:t>25% of underlying shares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Mr. Goff, 50% of underlying shares for our other NEOs; milestone not yet achieved</w:t>
      </w:r>
      <w:r>
        <w:rPr>
          <w:rFonts w:ascii="Times New Roman" w:cs="Times New Roman" w:eastAsia="Times New Roman" w:hAnsi="Times New Roman"/>
          <w:sz w:val="18"/>
          <w:szCs w:val="18"/>
          <w:color w:val="auto"/>
        </w:rPr>
        <w:t>);</w:t>
      </w:r>
    </w:p>
    <w:p>
      <w:pPr>
        <w:spacing w:after="0" w:line="241"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positive results in a phase 2 clinical trial of AG-946 sufficient to support initiation of a phase 3 trial of AG-946 in SCD by December 31, 2028 (</w:t>
      </w:r>
      <w:r>
        <w:rPr>
          <w:rFonts w:ascii="Times New Roman" w:cs="Times New Roman" w:eastAsia="Times New Roman" w:hAnsi="Times New Roman"/>
          <w:sz w:val="18"/>
          <w:szCs w:val="18"/>
          <w:i w:val="1"/>
          <w:iCs w:val="1"/>
          <w:color w:val="auto"/>
        </w:rPr>
        <w:t>25% of underlying shares; milestone not yet achieved</w:t>
      </w:r>
      <w:r>
        <w:rPr>
          <w:rFonts w:ascii="Times New Roman" w:cs="Times New Roman" w:eastAsia="Times New Roman" w:hAnsi="Times New Roman"/>
          <w:sz w:val="18"/>
          <w:szCs w:val="18"/>
          <w:color w:val="auto"/>
        </w:rPr>
        <w:t>); and</w:t>
      </w:r>
    </w:p>
    <w:p>
      <w:pPr>
        <w:spacing w:after="0" w:line="242"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(and/or progression to phase 1 or later) of two new non-PK activator assets to our pipeline in alignment with the company’s corporate strategy by December 31, 2026; upon achievement of milestone, underlying shares vest on December 31, 2027 (</w:t>
      </w:r>
      <w:r>
        <w:rPr>
          <w:rFonts w:ascii="Times New Roman" w:cs="Times New Roman" w:eastAsia="Times New Roman" w:hAnsi="Times New Roman"/>
          <w:sz w:val="18"/>
          <w:szCs w:val="18"/>
          <w:i w:val="1"/>
          <w:iCs w:val="1"/>
          <w:color w:val="auto"/>
        </w:rPr>
        <w:t>50%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underlying shares for Mr. Goff, 25% of underlying shares for our other NEOs; milestone not yet achieved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2026 PSU Program</w:t>
      </w:r>
    </w:p>
    <w:p>
      <w:pPr>
        <w:spacing w:after="0" w:line="266" w:lineRule="exact"/>
        <w:rPr>
          <w:sz w:val="20"/>
          <w:szCs w:val="20"/>
          <w:color w:val="auto"/>
        </w:rPr>
      </w:pPr>
    </w:p>
    <w:p>
      <w:pPr>
        <w:ind w:left="120" w:right="60" w:firstLine="771"/>
        <w:spacing w:after="0" w:line="312" w:lineRule="auto"/>
        <w:rPr>
          <w:sz w:val="20"/>
          <w:szCs w:val="20"/>
          <w:color w:val="auto"/>
        </w:rPr>
      </w:pPr>
      <w:r>
        <w:rPr>
          <w:rFonts w:ascii="Times New Roman" w:cs="Times New Roman" w:eastAsia="Times New Roman" w:hAnsi="Times New Roman"/>
          <w:sz w:val="17"/>
          <w:szCs w:val="17"/>
          <w:color w:val="auto"/>
        </w:rPr>
        <w:t>The PSUs that we granted to our NEOs in March 2026 vest as to the underlying shares upon our compensation &amp; people committee’s determination of the achievement of each of the following milestones, the performance period and relative weight for each milestone as set forth below:</w:t>
      </w:r>
    </w:p>
    <w:p>
      <w:pPr>
        <w:spacing w:after="0" w:line="219" w:lineRule="exact"/>
        <w:rPr>
          <w:sz w:val="20"/>
          <w:szCs w:val="20"/>
          <w:color w:val="auto"/>
        </w:rPr>
      </w:pPr>
    </w:p>
    <w:p>
      <w:pPr>
        <w:ind w:left="1540" w:right="240" w:hanging="331"/>
        <w:spacing w:after="0" w:line="284"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patient enrolled in phase 3 portion of the phase 2/3 clinical trial of AG-236 in PV by December 31, 2028 (</w:t>
      </w:r>
      <w:r>
        <w:rPr>
          <w:rFonts w:ascii="Times New Roman" w:cs="Times New Roman" w:eastAsia="Times New Roman" w:hAnsi="Times New Roman"/>
          <w:sz w:val="18"/>
          <w:szCs w:val="18"/>
          <w:i w:val="1"/>
          <w:iCs w:val="1"/>
          <w:color w:val="auto"/>
        </w:rPr>
        <w:t>25% of 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for Mr. Goff, 50% of underlying shares for our other NEOs; milestone not yet achieved</w:t>
      </w:r>
      <w:r>
        <w:rPr>
          <w:rFonts w:ascii="Times New Roman" w:cs="Times New Roman" w:eastAsia="Times New Roman" w:hAnsi="Times New Roman"/>
          <w:sz w:val="18"/>
          <w:szCs w:val="18"/>
          <w:color w:val="auto"/>
        </w:rPr>
        <w:t>); and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300" w:hanging="331"/>
        <w:spacing w:after="0" w:line="261"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total shareholder return, or TSR, of our common stock as compared to companies in the NASDAQ Biotechnology Index exceeds the performance goals established by the compensation committee over a three-year period from January 1, 2026 to December 31, 2028, with up to 200% of target shares vesting if certain TSR performance parameters are achieved (</w:t>
      </w:r>
      <w:r>
        <w:rPr>
          <w:rFonts w:ascii="Times New Roman" w:cs="Times New Roman" w:eastAsia="Times New Roman" w:hAnsi="Times New Roman"/>
          <w:sz w:val="18"/>
          <w:szCs w:val="18"/>
          <w:i w:val="1"/>
          <w:iCs w:val="1"/>
          <w:color w:val="auto"/>
        </w:rPr>
        <w:t>75%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underlying shares for Mr. Goff; 50% of underlying shares for our other NEOs; milestone not yet achieved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160" w:firstLine="771"/>
        <w:spacing w:after="0" w:line="266" w:lineRule="auto"/>
        <w:rPr>
          <w:sz w:val="20"/>
          <w:szCs w:val="20"/>
          <w:color w:val="auto"/>
        </w:rPr>
      </w:pPr>
      <w:r>
        <w:rPr>
          <w:rFonts w:ascii="Times New Roman" w:cs="Times New Roman" w:eastAsia="Times New Roman" w:hAnsi="Times New Roman"/>
          <w:sz w:val="18"/>
          <w:szCs w:val="18"/>
          <w:color w:val="auto"/>
        </w:rPr>
        <w:t>We believe that PSUs further increase the performance orientation of our executive compensation program thereby leading to the compensation &amp; people committee’s decision to formally include PSUs as part of the annual equity award mix for our executives. The PSU milestones are intended to align with a broad range of the most significant long-term value-creating objectives for the company.</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2026 Executive Compensation Decisions</w:t>
      </w:r>
    </w:p>
    <w:p>
      <w:pPr>
        <w:spacing w:after="0" w:line="268" w:lineRule="exact"/>
        <w:rPr>
          <w:sz w:val="20"/>
          <w:szCs w:val="20"/>
          <w:color w:val="auto"/>
        </w:rPr>
      </w:pPr>
    </w:p>
    <w:p>
      <w:pPr>
        <w:ind w:left="120" w:right="220" w:firstLine="771"/>
        <w:spacing w:after="0" w:line="266" w:lineRule="auto"/>
        <w:rPr>
          <w:sz w:val="20"/>
          <w:szCs w:val="20"/>
          <w:color w:val="auto"/>
        </w:rPr>
      </w:pPr>
      <w:r>
        <w:rPr>
          <w:rFonts w:ascii="Times New Roman" w:cs="Times New Roman" w:eastAsia="Times New Roman" w:hAnsi="Times New Roman"/>
          <w:sz w:val="18"/>
          <w:szCs w:val="18"/>
          <w:color w:val="auto"/>
        </w:rPr>
        <w:t>In February 2026, our compensation &amp; people committee (or our board of directors, upon recommendation of the compensation &amp; people committee, for our chief executive officer) approved 2026 base salaries, target annual performance-based cash incentive percentages and annual stock option, RSU and PSU awards for our NEOs. The table below sets forth the 2026 compensation levels for our NEOs.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2026 Equity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 Base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2026 Equity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2026 Equity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2026 Base</w:t>
            </w:r>
          </w:p>
        </w:tc>
        <w:tc>
          <w:tcPr>
            <w:tcW w:w="140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Award from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0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38"/>
        </w:trPr>
        <w:tc>
          <w:tcPr>
            <w:tcW w:w="2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 (%)</w:t>
            </w:r>
          </w:p>
        </w:tc>
        <w:tc>
          <w:tcPr>
            <w:tcW w:w="4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40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over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(RSUs)(2)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(PSUs)(3)</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75"/>
              </w:rPr>
              <w:t>0%(4)</w:t>
            </w: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872,269</w:t>
            </w:r>
          </w:p>
        </w:tc>
        <w:tc>
          <w:tcPr>
            <w:tcW w:w="3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30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30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551,138</w:t>
            </w:r>
          </w:p>
        </w:tc>
        <w:tc>
          <w:tcPr>
            <w:tcW w:w="1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52,000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543,093</w:t>
            </w:r>
          </w:p>
        </w:tc>
        <w:tc>
          <w:tcPr>
            <w:tcW w:w="1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52,000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Sarah Gheuens,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 Ph.D.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619,092</w:t>
            </w:r>
          </w:p>
        </w:tc>
        <w:tc>
          <w:tcPr>
            <w:tcW w:w="1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52,000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Krishnan Viswanadhan,</w:t>
            </w: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540,750</w:t>
            </w:r>
          </w:p>
        </w:tc>
        <w:tc>
          <w:tcPr>
            <w:tcW w:w="1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52,000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80" w:right="40" w:hanging="764"/>
        <w:spacing w:after="0" w:line="261"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1, 2026, our compensation &amp; people committee, or board of directors, as applicable, approved the grant of these stock option awards to our NEOs, at an exercise price of $29.20 per share, the closing price on the date of grant. The options are subject to time-based vesting, with 25% of the shares underlying the award vesting on the first anniversary of the grant date and the remaining shares vesting monthly thereafter in equal increments over 36 months, subject to continued service.</w:t>
      </w:r>
    </w:p>
    <w:p>
      <w:pPr>
        <w:spacing w:after="0" w:line="260" w:lineRule="exact"/>
        <w:rPr>
          <w:rFonts w:ascii="Times New Roman" w:cs="Times New Roman" w:eastAsia="Times New Roman" w:hAnsi="Times New Roman"/>
          <w:sz w:val="18"/>
          <w:szCs w:val="18"/>
          <w:color w:val="auto"/>
        </w:rPr>
      </w:pPr>
    </w:p>
    <w:p>
      <w:pPr>
        <w:ind w:left="880" w:right="40" w:hanging="764"/>
        <w:spacing w:after="0" w:line="266"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1, 2026, our compensation &amp; people committee, or board of directors, as applicable, approved the grant of these RSUs to our NEOs. The RSUs are subject to time-based vesting, with one-third of the shares of common stock underlying the RSUs vesting on the first, second and third anniversaries of the grant date, subject to continued service.</w:t>
      </w:r>
    </w:p>
    <w:p>
      <w:pPr>
        <w:spacing w:after="0" w:line="256" w:lineRule="exact"/>
        <w:rPr>
          <w:rFonts w:ascii="Times New Roman" w:cs="Times New Roman" w:eastAsia="Times New Roman" w:hAnsi="Times New Roman"/>
          <w:sz w:val="18"/>
          <w:szCs w:val="18"/>
          <w:color w:val="auto"/>
        </w:rPr>
      </w:pPr>
    </w:p>
    <w:p>
      <w:pPr>
        <w:ind w:left="880" w:right="60" w:hanging="764"/>
        <w:spacing w:after="0" w:line="258"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March 1, 2026, our compensation &amp; people committee, or board of directors, as applicable, approved the grant of these PSUs to our NEOs. The PSUs vest as to one-half (one quarter in the case of Mr. Goff) of the underlying shares of common stock upon the achievement of a specified clinical milestone and as to one-half (three quarters in the case of Mr. Goff) of the underlying shares of common stock upon the achievement of a relative TSR metric, in each case subject to continued service. The terms of the PSUs are more fully described above under “2026 PSU Program.”</w:t>
      </w:r>
    </w:p>
    <w:p>
      <w:pPr>
        <w:spacing w:after="0" w:line="264" w:lineRule="exact"/>
        <w:rPr>
          <w:rFonts w:ascii="Times New Roman" w:cs="Times New Roman" w:eastAsia="Times New Roman" w:hAnsi="Times New Roman"/>
          <w:sz w:val="18"/>
          <w:szCs w:val="18"/>
          <w:color w:val="auto"/>
        </w:rPr>
      </w:pPr>
    </w:p>
    <w:p>
      <w:pPr>
        <w:ind w:left="880" w:hanging="76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merit-based increase.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Supplemental 2026 Equity Grants</w:t>
      </w:r>
    </w:p>
    <w:p>
      <w:pPr>
        <w:spacing w:after="0" w:line="254" w:lineRule="exact"/>
        <w:rPr>
          <w:sz w:val="20"/>
          <w:szCs w:val="20"/>
          <w:color w:val="auto"/>
        </w:rPr>
      </w:pPr>
    </w:p>
    <w:p>
      <w:pPr>
        <w:ind w:left="120" w:right="120" w:firstLine="771"/>
        <w:spacing w:after="0" w:line="230" w:lineRule="auto"/>
        <w:rPr>
          <w:sz w:val="20"/>
          <w:szCs w:val="20"/>
          <w:color w:val="auto"/>
        </w:rPr>
      </w:pPr>
      <w:r>
        <w:rPr>
          <w:rFonts w:ascii="Times New Roman" w:cs="Times New Roman" w:eastAsia="Times New Roman" w:hAnsi="Times New Roman"/>
          <w:sz w:val="18"/>
          <w:szCs w:val="18"/>
          <w:color w:val="auto"/>
        </w:rPr>
        <w:t>In addition to the annual equity grants outlined above, in February 2026, the compensation &amp; people committee granted to Dr. Gheuens the RSUs set forth in the table below, effective March 1, 2026, in order to recognize her leadership and expertise through the Company’s regulatory review and approval of AQVESME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RISE UP clinical trial data readout and continued excellence with regulatory interactions leading to a sNDA with accelerated review path for mitapivat in SCD.</w:t>
      </w:r>
    </w:p>
    <w:p>
      <w:pPr>
        <w:spacing w:after="0" w:line="221"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b w:val="1"/>
          <w:bCs w:val="1"/>
          <w:color w:val="auto"/>
        </w:rPr>
        <w:t>RSU</w:t>
      </w:r>
    </w:p>
    <w:p>
      <w:pPr>
        <w:spacing w:after="0" w:line="31"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b w:val="1"/>
          <w:bCs w:val="1"/>
          <w:u w:val="single" w:color="auto"/>
          <w:color w:val="auto"/>
        </w:rPr>
        <w:t>Awards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7"/>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Sarah Gheuens,</w:t>
            </w:r>
          </w:p>
        </w:tc>
        <w:tc>
          <w:tcPr>
            <w:tcW w:w="5160" w:type="dxa"/>
            <w:vAlign w:val="bottom"/>
          </w:tcPr>
          <w:p>
            <w:pPr>
              <w:spacing w:after="0"/>
              <w:rPr>
                <w:sz w:val="17"/>
                <w:szCs w:val="17"/>
                <w:color w:val="auto"/>
              </w:rPr>
            </w:pPr>
          </w:p>
        </w:tc>
      </w:tr>
      <w:tr>
        <w:trPr>
          <w:trHeight w:val="234"/>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 Ph.D.</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279" w:lineRule="exact"/>
        <w:rPr>
          <w:sz w:val="20"/>
          <w:szCs w:val="20"/>
          <w:color w:val="auto"/>
        </w:rPr>
      </w:pPr>
    </w:p>
    <w:p>
      <w:pPr>
        <w:ind w:left="880" w:right="200" w:hanging="764"/>
        <w:spacing w:after="0" w:line="282"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are subject to time-based vesting, with one-third of the shares of common stock underlying the RSUs vesting on the first, second and third anniversaries of the grant date, subject to continued service.</w:t>
      </w:r>
    </w:p>
    <w:p>
      <w:pPr>
        <w:spacing w:after="0" w:line="202" w:lineRule="exact"/>
        <w:rPr>
          <w:sz w:val="20"/>
          <w:szCs w:val="20"/>
          <w:color w:val="auto"/>
        </w:rPr>
      </w:pPr>
    </w:p>
    <w:p>
      <w:pPr>
        <w:ind w:left="120" w:right="100" w:firstLine="771"/>
        <w:spacing w:after="0" w:line="289" w:lineRule="auto"/>
        <w:rPr>
          <w:sz w:val="20"/>
          <w:szCs w:val="20"/>
          <w:color w:val="auto"/>
        </w:rPr>
      </w:pPr>
      <w:r>
        <w:rPr>
          <w:rFonts w:ascii="Times New Roman" w:cs="Times New Roman" w:eastAsia="Times New Roman" w:hAnsi="Times New Roman"/>
          <w:sz w:val="17"/>
          <w:szCs w:val="17"/>
          <w:color w:val="auto"/>
        </w:rPr>
        <w:t>Salary increases for 2026 became effective as of January 1, 2026. The annual cash incentive target award percentage for our NEOs remained unchanged from 2025. Annual performance-based cash incentive program payouts for 2026 annual cash incentives will be based on our performance against specific research, clinical, operational and financial company goals and, as stated above, will be capped at 150% of the target payout level.</w:t>
      </w:r>
    </w:p>
    <w:p>
      <w:pPr>
        <w:spacing w:after="0" w:line="198" w:lineRule="exact"/>
        <w:rPr>
          <w:sz w:val="20"/>
          <w:szCs w:val="20"/>
          <w:color w:val="auto"/>
        </w:rPr>
      </w:pPr>
    </w:p>
    <w:p>
      <w:pPr>
        <w:jc w:val="both"/>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In February 2026, our compensation &amp; people committee determined that annual equity awards for our NEOs, with the exception of our chief executive officer, would be split approximately 50% in stock options, 25% in RSUs and 25% in PSUs, based on grant date fair value, for 2026, in order to closely align executive compensation with the achievement of meaningful corporate milestones. The compensation &amp; people committee and board of directors determined that the grant of the annual equity award for our chief executive officer would be split approximately 40% in stock options, 20% in RSUs and 40% in PSUs based on grant date fair value, in order to further emphasize the performance-based component.</w:t>
      </w: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Severance and Change in Control Benefits</w:t>
      </w:r>
    </w:p>
    <w:p>
      <w:pPr>
        <w:spacing w:after="0" w:line="268" w:lineRule="exact"/>
        <w:rPr>
          <w:sz w:val="20"/>
          <w:szCs w:val="20"/>
          <w:color w:val="auto"/>
        </w:rPr>
      </w:pPr>
    </w:p>
    <w:p>
      <w:pPr>
        <w:ind w:left="120" w:firstLine="771"/>
        <w:spacing w:after="0" w:line="272" w:lineRule="auto"/>
        <w:rPr>
          <w:sz w:val="20"/>
          <w:szCs w:val="20"/>
          <w:color w:val="auto"/>
        </w:rPr>
      </w:pPr>
      <w:r>
        <w:rPr>
          <w:rFonts w:ascii="Times New Roman" w:cs="Times New Roman" w:eastAsia="Times New Roman" w:hAnsi="Times New Roman"/>
          <w:sz w:val="17"/>
          <w:szCs w:val="17"/>
          <w:color w:val="auto"/>
        </w:rPr>
        <w:t>In 2016, our compensation &amp; people committee adopted the Severance Benefits Plan, or the Severance Plan, which applies to our NEOs and certain other employees, and which became effective as of April 22, 2016 and was subsequently amended on October 6, 2022. The Severance Plan provides for severance benefits in the event of a termination of such NEO’s employment by us without cause or by such employee for good reason either</w:t>
      </w:r>
    </w:p>
    <w:p>
      <w:pPr>
        <w:spacing w:after="0" w:line="2" w:lineRule="exact"/>
        <w:rPr>
          <w:sz w:val="20"/>
          <w:szCs w:val="20"/>
          <w:color w:val="auto"/>
        </w:rPr>
      </w:pPr>
    </w:p>
    <w:p>
      <w:pPr>
        <w:ind w:left="120" w:right="440" w:hanging="4"/>
        <w:spacing w:after="0" w:line="260" w:lineRule="auto"/>
        <w:tabs>
          <w:tab w:leader="none" w:pos="3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or more than 18 months after a change in control, or Non-Change of Control Termination, or (ii) within 18 months following a change in control, or Change of Control Termination.</w:t>
      </w:r>
    </w:p>
    <w:p>
      <w:pPr>
        <w:spacing w:after="0" w:line="179" w:lineRule="exact"/>
        <w:rPr>
          <w:sz w:val="20"/>
          <w:szCs w:val="20"/>
          <w:color w:val="auto"/>
        </w:rPr>
      </w:pPr>
    </w:p>
    <w:p>
      <w:pPr>
        <w:ind w:left="120" w:right="100" w:firstLine="771"/>
        <w:spacing w:after="0" w:line="257"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Employment, Severance and Change in Control Arrangements</w:t>
      </w:r>
      <w:r>
        <w:rPr>
          <w:rFonts w:ascii="Times New Roman" w:cs="Times New Roman" w:eastAsia="Times New Roman" w:hAnsi="Times New Roman"/>
          <w:sz w:val="18"/>
          <w:szCs w:val="18"/>
          <w:color w:val="auto"/>
        </w:rPr>
        <w:t>” below for a more detailed discussion of severance and change in control benefits for our NEOs. We also have provided estimates of the value of the severance payments made and other benefits provided to our NEOs under specified termination circumstances under the caption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 We believe that providing these benefits helps us compete for executive talent. These benefits are designed to promote stability and continuity of our senior management and are intended to preserve employee morale and productivity and encourage retention in the face of the disruptive impact of an actual, threatened, or rumored change in control of the company.</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Health and Welfare Benefits</w:t>
      </w:r>
    </w:p>
    <w:p>
      <w:pPr>
        <w:spacing w:after="0" w:line="268"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Our NEOs are eligible to participate in all of our employee benefit plans, including our medical, dental, vision, life and disability insurance plans, in each case on the same basis as other employees. We believe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these health and welfare benefits help ensure that we have a productive and focused workforce through reliable and competitive health and other benefits.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401(k) Retirement Plan</w:t>
      </w:r>
    </w:p>
    <w:p>
      <w:pPr>
        <w:spacing w:after="0" w:line="268" w:lineRule="exact"/>
        <w:rPr>
          <w:sz w:val="20"/>
          <w:szCs w:val="20"/>
          <w:color w:val="auto"/>
        </w:rPr>
      </w:pPr>
    </w:p>
    <w:p>
      <w:pPr>
        <w:ind w:left="120" w:firstLine="771"/>
        <w:spacing w:after="0" w:line="273" w:lineRule="auto"/>
        <w:rPr>
          <w:sz w:val="20"/>
          <w:szCs w:val="20"/>
          <w:color w:val="auto"/>
        </w:rPr>
      </w:pPr>
      <w:r>
        <w:rPr>
          <w:rFonts w:ascii="Times New Roman" w:cs="Times New Roman" w:eastAsia="Times New Roman" w:hAnsi="Times New Roman"/>
          <w:sz w:val="17"/>
          <w:szCs w:val="17"/>
          <w:color w:val="auto"/>
        </w:rPr>
        <w:t>We maintain a 401(k)-retirement plan that is intended to be a tax-qualified defined contribution plan under Section 401(k) of the Internal Revenue Code, as amended, or the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$23,500 in 2025, and have the amount of the reduction contributed to the 401(k) plan. Participants who turned age 50 in 2025 were also eligible to make “catch-up” contributions, which in 2025 were up to an additional $7,500 above the statutory limit. Participants who were ages 60 to 63 in 2025 were eligible for a higher catch-up contribution limit of $11,250 for 2025. In 2025, we matched 100% of employee 401(k) contributions up to the first 4% of eligible contributions. Matching contributions are 100% vested immediately.</w:t>
      </w:r>
    </w:p>
    <w:p>
      <w:pPr>
        <w:spacing w:after="0" w:line="1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482" w:right="5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w:t>
      </w:r>
    </w:p>
    <w:p>
      <w:pPr>
        <w:spacing w:after="0" w:line="256" w:lineRule="exact"/>
        <w:rPr>
          <w:sz w:val="20"/>
          <w:szCs w:val="20"/>
          <w:color w:val="auto"/>
        </w:rPr>
      </w:pPr>
    </w:p>
    <w:p>
      <w:pPr>
        <w:ind w:left="120" w:right="260" w:firstLine="771"/>
        <w:spacing w:after="0" w:line="255" w:lineRule="auto"/>
        <w:rPr>
          <w:sz w:val="20"/>
          <w:szCs w:val="20"/>
          <w:color w:val="auto"/>
        </w:rPr>
      </w:pPr>
      <w:r>
        <w:rPr>
          <w:rFonts w:ascii="Times New Roman" w:cs="Times New Roman" w:eastAsia="Times New Roman" w:hAnsi="Times New Roman"/>
          <w:sz w:val="18"/>
          <w:szCs w:val="18"/>
          <w:color w:val="auto"/>
        </w:rPr>
        <w:t>On an annual basis, we grant stock options and RSUs to our employees and also grant PSUs to certain employees including our executive officers. We grant options and RSUs to our non-employee directors on an annual basis in accordance with our non-employee director compensation policy. We also grant stock options, RSUs and, with respect to our executive officers and certain others, PSUs, to individuals upon hire or, in limited circumstances, promotion, for retention purposes or to reward significant contributions. We currently do not grant stock appreciation rights or similar option-like instruments. During the year ended December 31, 2025, neither the board of directors nor the compensation committee took material nonpublic information into account when determining the timing or terms of equity awards, nor did the Company time the disclosure of material nonpublic information for the purpose of affecting the value of executive compensation.</w:t>
      </w:r>
    </w:p>
    <w:p>
      <w:pPr>
        <w:spacing w:after="0" w:line="229" w:lineRule="exact"/>
        <w:rPr>
          <w:sz w:val="20"/>
          <w:szCs w:val="20"/>
          <w:color w:val="auto"/>
        </w:rPr>
      </w:pPr>
    </w:p>
    <w:p>
      <w:pPr>
        <w:ind w:left="120" w:firstLine="771"/>
        <w:spacing w:after="0" w:line="237" w:lineRule="auto"/>
        <w:rPr>
          <w:sz w:val="20"/>
          <w:szCs w:val="20"/>
          <w:color w:val="auto"/>
        </w:rPr>
      </w:pPr>
      <w:r>
        <w:rPr>
          <w:rFonts w:ascii="Times New Roman" w:cs="Times New Roman" w:eastAsia="Times New Roman" w:hAnsi="Times New Roman"/>
          <w:sz w:val="18"/>
          <w:szCs w:val="18"/>
          <w:color w:val="auto"/>
        </w:rPr>
        <w:t>Annual stock option grants to our executive officers are typically granted by our compensation committee (or in the case of the chief executive officer, by our board of directors) effective on March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of each year. Stock options granted to new hires who are executive officers are typically granted by our board of directors effective upon such executive officer’s employment start date. In 2025, our compensation committee delegated authority to our chief executive officer, or if the chief executive officer was unavailable, the chief financial officer, under our 2023 Stock Incentive Plan, as amended, to grant annual stock grants to our non-executive officer employees effective on March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of the year. Stock options granted to new hires who are non-executive employees are typically granted pursuant to delegated authority by our chief executive officer, or if the chief executive officer was unavailable, the chief financial officer, under our 2023 Stock Incentive Plan, as amended, effective on the first trading day of the month following the month in which the employee is hired. If stock options are granted in connection with promotions or for retention purposes, such grants are also typically pursuant to delegated authority and are effective on February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of each year or on the first trading day of the month following the related event. Our chief executive officer and chief financial officer do not take into account material nonpublic information when determining the timing or terms of such stock option grants.</w:t>
      </w:r>
    </w:p>
    <w:p>
      <w:pPr>
        <w:spacing w:after="0" w:line="248" w:lineRule="exact"/>
        <w:rPr>
          <w:sz w:val="20"/>
          <w:szCs w:val="20"/>
          <w:color w:val="auto"/>
        </w:rPr>
      </w:pPr>
    </w:p>
    <w:p>
      <w:pPr>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policy, the grants of annual stock options to non-employee directors serving at the time of our annual meeting of stockholders are effective immediately following such annual meeting of our stockholders. Under our non-employee director compensation policy, our board of directors grants stock options to new non-employee directors effective upon the director’s initial election to our board of directors.</w:t>
      </w:r>
    </w:p>
    <w:p>
      <w:pPr>
        <w:spacing w:after="0" w:line="207" w:lineRule="exact"/>
        <w:rPr>
          <w:sz w:val="20"/>
          <w:szCs w:val="20"/>
          <w:color w:val="auto"/>
        </w:rPr>
      </w:pPr>
    </w:p>
    <w:p>
      <w:pPr>
        <w:ind w:left="120" w:right="200" w:firstLine="77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did not grant stock options to any named executive officer during any period beginning four business days before and ending one business day after the filing of any Form 10-Q or 10-K, or the filing or furnishing of a Form 8-K that discloses material nonpublic information.</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56"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Effective October 2, 2023, we adopted a compensation recovery policy, or a “clawback policy”, in accordance with Rule 10D-1 under the Exchange Act, or Rule 10D-1, and Nasdaq Listing Rule 5608. The policy is administered by the compensation &amp; people committee. The policy provides that, in the event that we are required to prepare an accounting restatement due to material noncompliance with any financial reporting requirement under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we will attempt to recover, reasonably promptly from each covered executive, any erroneously awarded incentive-based compensation received by our covered executives during the recovery period under the policy. For purposes of this policy, covered executives means any executive officer (as defined in Rule 16a-1(f) under the Exchange Act) who served at any time during the performance period for the applicable incentive-based compensation. Incentive-based compensation means any compensation that is granted, earned or vested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based wholly or in part upon the attainment of (i) any measures that are determined and presented in accordance with the accounting principles used in preparing our financial statements, and any measures that are derived wholly or in part from such measures, (ii) stock price and (iii) total stockholder return. Erroneously awarded incentive-based compensation means the amount of incentive-based compensation that was received that exceeds the amount of incentive-based compensation that otherwise would have been received had it been determined based on the restated amounts, computed without regard to any taxes paid by the covered executives (or by us on their behalf). If the incentive-based compensation is based on our stock price or total stockholder return and the amount of the erroneously awarded incentive-based compensation is not subject to recalculation directly from the information in an accounting restatement, the amount to be recovered shall be based on a reasonable estimate by the compensation &amp; people committee of the effect of the accounting restatement on the stock price or total stockholder return upon which the incentive-based compensation was received. The policy does not apply to incentive-based compensation received prior to October 2, 2023 or to incentive-based compensation that was received by a covered executive before beginning service as an executive officer.</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771"/>
        <w:spacing w:after="0" w:line="282" w:lineRule="auto"/>
        <w:rPr>
          <w:sz w:val="20"/>
          <w:szCs w:val="20"/>
          <w:color w:val="auto"/>
        </w:rPr>
      </w:pPr>
      <w:r>
        <w:rPr>
          <w:rFonts w:ascii="Times New Roman" w:cs="Times New Roman" w:eastAsia="Times New Roman" w:hAnsi="Times New Roman"/>
          <w:sz w:val="18"/>
          <w:szCs w:val="18"/>
          <w:color w:val="auto"/>
        </w:rPr>
        <w:t>If we are required to prepare an accounting restatement and the policy is not applicable to the compensation, the clawback policy previously adopted by our board of directors effective April 22, 2016 will apply in accordance with its terms.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270" w:lineRule="exact"/>
        <w:rPr>
          <w:sz w:val="20"/>
          <w:szCs w:val="20"/>
          <w:color w:val="auto"/>
        </w:rPr>
      </w:pPr>
    </w:p>
    <w:p>
      <w:pPr>
        <w:ind w:left="120" w:right="60" w:firstLine="771"/>
        <w:spacing w:after="0" w:line="282" w:lineRule="auto"/>
        <w:rPr>
          <w:sz w:val="20"/>
          <w:szCs w:val="20"/>
          <w:color w:val="auto"/>
        </w:rPr>
      </w:pPr>
      <w:r>
        <w:rPr>
          <w:rFonts w:ascii="Times New Roman" w:cs="Times New Roman" w:eastAsia="Times New Roman" w:hAnsi="Times New Roman"/>
          <w:sz w:val="18"/>
          <w:szCs w:val="18"/>
          <w:color w:val="auto"/>
        </w:rPr>
        <w:t>Consistent with our pay-for-performance philosophy, we have provided only limited perquisites to our executives in connection with the start of employment. We do not provide personal perquisites such as automobile leases, driver services or provide aircraft for personal use.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Anti-Hedging and Pledging</w:t>
      </w:r>
    </w:p>
    <w:p>
      <w:pPr>
        <w:spacing w:after="0" w:line="256" w:lineRule="exact"/>
        <w:rPr>
          <w:sz w:val="20"/>
          <w:szCs w:val="20"/>
          <w:color w:val="auto"/>
        </w:rPr>
      </w:pPr>
    </w:p>
    <w:p>
      <w:pPr>
        <w:ind w:left="120" w:right="100" w:firstLine="771"/>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company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 The company also does not engage in transactions in company securities while in possession of material nonpublic information concerning the company or its securities.</w:t>
      </w:r>
    </w:p>
    <w:p>
      <w:pPr>
        <w:spacing w:after="0" w:line="224"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Our insider trading policy, among other things, expressly prohibits all of our employees, including our NEOs, as well as our directors, from engaging in speculative transactions in our stock, including short sales, purchases or sales of puts, calls or other derivative securities and purchases of financial instruments (including prepaid variable forward contracts, equity swaps, collars or exchange funds) or other transactions that hedge or offset, or are designed to hedge or offset, any decrease in the market value of our securities. In addition, our insider trading policy expressly prohibits all of our employees, including our NEOs, as well as our directors, from purchasing our securities on margin, borrowing against our securities in a margin account or pledging our securities as collateral for a loan.</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provide for any tax gross-up payments to our NEOs.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and Tax Considerations</w:t>
      </w:r>
    </w:p>
    <w:p>
      <w:pPr>
        <w:spacing w:after="0" w:line="256" w:lineRule="exact"/>
        <w:rPr>
          <w:sz w:val="20"/>
          <w:szCs w:val="20"/>
          <w:color w:val="auto"/>
        </w:rPr>
      </w:pPr>
    </w:p>
    <w:p>
      <w:pPr>
        <w:ind w:left="120" w:right="40" w:firstLine="771"/>
        <w:spacing w:after="0" w:line="266" w:lineRule="auto"/>
        <w:rPr>
          <w:sz w:val="20"/>
          <w:szCs w:val="20"/>
          <w:color w:val="auto"/>
        </w:rPr>
      </w:pPr>
      <w:r>
        <w:rPr>
          <w:rFonts w:ascii="Times New Roman" w:cs="Times New Roman" w:eastAsia="Times New Roman" w:hAnsi="Times New Roman"/>
          <w:sz w:val="18"/>
          <w:szCs w:val="18"/>
          <w:color w:val="auto"/>
        </w:rPr>
        <w:t>We account for equity compensation paid to our employees under the rules of FASB ASC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w:t>
      </w:r>
    </w:p>
    <w:p>
      <w:pPr>
        <w:spacing w:after="0" w:line="216" w:lineRule="exact"/>
        <w:rPr>
          <w:sz w:val="20"/>
          <w:szCs w:val="20"/>
          <w:color w:val="auto"/>
        </w:rPr>
      </w:pPr>
    </w:p>
    <w:p>
      <w:pPr>
        <w:jc w:val="both"/>
        <w:ind w:left="120" w:firstLine="771"/>
        <w:spacing w:after="0" w:line="261" w:lineRule="auto"/>
        <w:rPr>
          <w:sz w:val="20"/>
          <w:szCs w:val="20"/>
          <w:color w:val="auto"/>
        </w:rPr>
      </w:pPr>
      <w:r>
        <w:rPr>
          <w:rFonts w:ascii="Times New Roman" w:cs="Times New Roman" w:eastAsia="Times New Roman" w:hAnsi="Times New Roman"/>
          <w:sz w:val="18"/>
          <w:szCs w:val="18"/>
          <w:color w:val="auto"/>
        </w:rPr>
        <w:t>We are generally entitled to a U.S. federal income tax deduction with respect to compensation income paid to our service providers, subject to limitation under Section 162(m) of the Code, with respect to compensation in excess of $1 million paid in any one year to each of certain of our current and former executive officers. While the compensation &amp; people committee generally considers the tax implications to us of its executive compensation decisions, such implications did not have a material consideration in the compensation awarded to our NEOs in 2025.</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56" w:lineRule="exact"/>
        <w:rPr>
          <w:sz w:val="20"/>
          <w:szCs w:val="20"/>
          <w:color w:val="auto"/>
        </w:rPr>
      </w:pPr>
    </w:p>
    <w:p>
      <w:pPr>
        <w:ind w:left="120" w:right="140" w:firstLine="771"/>
        <w:spacing w:after="0" w:line="266" w:lineRule="auto"/>
        <w:rPr>
          <w:sz w:val="20"/>
          <w:szCs w:val="20"/>
          <w:color w:val="auto"/>
        </w:rPr>
      </w:pPr>
      <w:r>
        <w:rPr>
          <w:rFonts w:ascii="Times New Roman" w:cs="Times New Roman" w:eastAsia="Times New Roman" w:hAnsi="Times New Roman"/>
          <w:sz w:val="18"/>
          <w:szCs w:val="18"/>
          <w:color w:val="auto"/>
        </w:rPr>
        <w:t>Our compensation &amp; people committee established stock ownership guidelines for our directors and executive officers to further align the interests of our board of directors and executive officers with those of stockholders. The stock ownership guidelines are as follows: our chief executive officer must own shares worth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least three times his base salary; our other executive officers must own shares worth at least their base salary; and our non-employee directors must own shares worth at least three times the annual cash retainer. Our chief executive officer, other executive officers and non-employee directors have five years from first being subject to these guidelines to satisfy the applicable ownership threshold. Dr. Backstrom, Mr. Capello and Dr. Viswanadhan are each within the aforementioned five-year phase-in period and as a result are not yet required to meet the stock ownership guidelines. As of March 31, 2026, all of our other directors and executive officers were in compliance with the stock ownership guidelines.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82"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56" w:lineRule="exact"/>
        <w:rPr>
          <w:sz w:val="20"/>
          <w:szCs w:val="20"/>
          <w:color w:val="auto"/>
        </w:rPr>
      </w:pPr>
    </w:p>
    <w:p>
      <w:pPr>
        <w:ind w:left="120" w:right="20" w:firstLine="771"/>
        <w:spacing w:after="0" w:line="266" w:lineRule="auto"/>
        <w:rPr>
          <w:sz w:val="20"/>
          <w:szCs w:val="20"/>
          <w:color w:val="auto"/>
        </w:rPr>
      </w:pPr>
      <w:r>
        <w:rPr>
          <w:rFonts w:ascii="Times New Roman" w:cs="Times New Roman" w:eastAsia="Times New Roman" w:hAnsi="Times New Roman"/>
          <w:sz w:val="18"/>
          <w:szCs w:val="18"/>
          <w:color w:val="auto"/>
        </w:rPr>
        <w:t>The compensation &amp; people committee has reviewed and discussed the Compensation Discussion and Analysis required by Item 402(b) of Regulation S-K with our management. Based on this review and discussion, the compensation &amp; people committee recommended to our board of directors that the Compensation Discussion and Analysis be included in this proxy statement.</w:t>
      </w:r>
    </w:p>
    <w:p>
      <w:pPr>
        <w:spacing w:after="0" w:line="216"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This report of the compensation &amp; people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foregoing report has been furnished by the compensation &amp; people committee.</w:t>
      </w: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Compensation &amp; People Committee of the Board of Directors</w:t>
      </w: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Cynthia Smith (chair)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Kaye Foster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Catherine Owen Adams</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00"/>
          </w:cols>
          <w:pgMar w:left="320" w:top="482"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NEOs during the fiscal years ended December 31, 2025,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2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88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5"/>
                <w:szCs w:val="15"/>
                <w:color w:val="auto"/>
              </w:rPr>
            </w:pPr>
          </w:p>
        </w:tc>
        <w:tc>
          <w:tcPr>
            <w:tcW w:w="88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4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auto"/>
              </w:rPr>
              <w:t>Brian Goff</w:t>
            </w: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40"/>
              <w:spacing w:after="0" w:line="128" w:lineRule="exact"/>
              <w:rPr>
                <w:sz w:val="20"/>
                <w:szCs w:val="20"/>
                <w:color w:val="auto"/>
              </w:rPr>
            </w:pPr>
            <w:r>
              <w:rPr>
                <w:rFonts w:ascii="Times New Roman" w:cs="Times New Roman" w:eastAsia="Times New Roman" w:hAnsi="Times New Roman"/>
                <w:sz w:val="14"/>
                <w:szCs w:val="14"/>
                <w:color w:val="auto"/>
                <w:w w:val="99"/>
              </w:rPr>
              <w:t>2025</w:t>
            </w: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846,864</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20"/>
              <w:spacing w:after="0" w:line="128"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1,291,680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2,627,252</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592,804</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11,789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5,370,389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44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2024</w:t>
            </w:r>
          </w:p>
        </w:tc>
        <w:tc>
          <w:tcPr>
            <w:tcW w:w="76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822,198</w:t>
            </w:r>
          </w:p>
        </w:tc>
        <w:tc>
          <w:tcPr>
            <w:tcW w:w="700" w:type="dxa"/>
            <w:vAlign w:val="bottom"/>
            <w:gridSpan w:val="2"/>
            <w:shd w:val="clear" w:color="auto" w:fill="CCEEFF"/>
          </w:tcPr>
          <w:p>
            <w:pPr>
              <w:ind w:left="3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1,742,580</w:t>
            </w:r>
          </w:p>
        </w:tc>
        <w:tc>
          <w:tcPr>
            <w:tcW w:w="82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3,480,506</w:t>
            </w:r>
          </w:p>
        </w:tc>
        <w:tc>
          <w:tcPr>
            <w:tcW w:w="104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719,423</w:t>
            </w:r>
          </w:p>
        </w:tc>
        <w:tc>
          <w:tcPr>
            <w:tcW w:w="102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11,653</w:t>
            </w:r>
          </w:p>
        </w:tc>
        <w:tc>
          <w:tcPr>
            <w:tcW w:w="72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6,776,359</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798,250</w:t>
            </w:r>
          </w:p>
        </w:tc>
        <w:tc>
          <w:tcPr>
            <w:tcW w:w="70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637,755</w:t>
            </w: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1,319,723</w:t>
            </w: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648,179</w:t>
            </w: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12,546</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3,416,453</w:t>
            </w:r>
          </w:p>
        </w:tc>
        <w:tc>
          <w:tcPr>
            <w:tcW w:w="0" w:type="dxa"/>
            <w:vAlign w:val="bottom"/>
          </w:tcPr>
          <w:p>
            <w:pPr>
              <w:spacing w:after="0"/>
              <w:rPr>
                <w:sz w:val="1"/>
                <w:szCs w:val="1"/>
                <w:color w:val="auto"/>
              </w:rPr>
            </w:pPr>
          </w:p>
        </w:tc>
      </w:tr>
      <w:tr>
        <w:trPr>
          <w:trHeight w:val="134"/>
        </w:trPr>
        <w:tc>
          <w:tcPr>
            <w:tcW w:w="444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color w:val="auto"/>
              </w:rPr>
              <w:t>Cecilia Jones</w:t>
            </w:r>
          </w:p>
        </w:tc>
        <w:tc>
          <w:tcPr>
            <w:tcW w:w="40" w:type="dxa"/>
            <w:vAlign w:val="bottom"/>
          </w:tcPr>
          <w:p>
            <w:pPr>
              <w:spacing w:after="0"/>
              <w:rPr>
                <w:sz w:val="11"/>
                <w:szCs w:val="11"/>
                <w:color w:val="auto"/>
              </w:rPr>
            </w:pPr>
          </w:p>
        </w:tc>
        <w:tc>
          <w:tcPr>
            <w:tcW w:w="6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color w:val="auto"/>
              </w:rPr>
              <w:t>2025</w:t>
            </w:r>
          </w:p>
        </w:tc>
        <w:tc>
          <w:tcPr>
            <w:tcW w:w="7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535,085</w:t>
            </w:r>
          </w:p>
        </w:tc>
        <w:tc>
          <w:tcPr>
            <w:tcW w:w="700" w:type="dxa"/>
            <w:vAlign w:val="bottom"/>
            <w:gridSpan w:val="2"/>
          </w:tcPr>
          <w:p>
            <w:pPr>
              <w:ind w:left="320"/>
              <w:spacing w:after="0" w:line="134"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924,379</w:t>
            </w:r>
          </w:p>
        </w:tc>
        <w:tc>
          <w:tcPr>
            <w:tcW w:w="82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802,008</w:t>
            </w:r>
          </w:p>
        </w:tc>
        <w:tc>
          <w:tcPr>
            <w:tcW w:w="104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240,789</w:t>
            </w:r>
          </w:p>
        </w:tc>
        <w:tc>
          <w:tcPr>
            <w:tcW w:w="102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15,961</w:t>
            </w:r>
          </w:p>
        </w:tc>
        <w:tc>
          <w:tcPr>
            <w:tcW w:w="72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2,518,222</w:t>
            </w:r>
          </w:p>
        </w:tc>
        <w:tc>
          <w:tcPr>
            <w:tcW w:w="0" w:type="dxa"/>
            <w:vAlign w:val="bottom"/>
          </w:tcPr>
          <w:p>
            <w:pPr>
              <w:spacing w:after="0"/>
              <w:rPr>
                <w:sz w:val="1"/>
                <w:szCs w:val="1"/>
                <w:color w:val="auto"/>
              </w:rPr>
            </w:pPr>
          </w:p>
        </w:tc>
      </w:tr>
      <w:tr>
        <w:trPr>
          <w:trHeight w:val="166"/>
        </w:trPr>
        <w:tc>
          <w:tcPr>
            <w:tcW w:w="444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72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5"/>
                <w:szCs w:val="15"/>
                <w:color w:val="auto"/>
              </w:rPr>
              <w:t>2024</w:t>
            </w:r>
          </w:p>
        </w:tc>
        <w:tc>
          <w:tcPr>
            <w:tcW w:w="76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503,880</w:t>
            </w:r>
          </w:p>
        </w:tc>
        <w:tc>
          <w:tcPr>
            <w:tcW w:w="700" w:type="dxa"/>
            <w:vAlign w:val="bottom"/>
            <w:gridSpan w:val="2"/>
          </w:tcPr>
          <w:p>
            <w:pPr>
              <w:ind w:left="3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548,590</w:t>
            </w:r>
          </w:p>
        </w:tc>
        <w:tc>
          <w:tcPr>
            <w:tcW w:w="82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1,068,185</w:t>
            </w:r>
          </w:p>
        </w:tc>
        <w:tc>
          <w:tcPr>
            <w:tcW w:w="104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283,433</w:t>
            </w:r>
          </w:p>
        </w:tc>
        <w:tc>
          <w:tcPr>
            <w:tcW w:w="102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15,261</w:t>
            </w:r>
          </w:p>
        </w:tc>
        <w:tc>
          <w:tcPr>
            <w:tcW w:w="72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2,419,349</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484,500</w:t>
            </w:r>
          </w:p>
        </w:tc>
        <w:tc>
          <w:tcPr>
            <w:tcW w:w="7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150,060</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307,242</w:t>
            </w: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252,910</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14,072</w:t>
            </w: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1,208,784</w:t>
            </w:r>
          </w:p>
        </w:tc>
        <w:tc>
          <w:tcPr>
            <w:tcW w:w="0" w:type="dxa"/>
            <w:vAlign w:val="bottom"/>
          </w:tcPr>
          <w:p>
            <w:pPr>
              <w:spacing w:after="0"/>
              <w:rPr>
                <w:sz w:val="1"/>
                <w:szCs w:val="1"/>
                <w:color w:val="auto"/>
              </w:rPr>
            </w:pPr>
          </w:p>
        </w:tc>
      </w:tr>
      <w:tr>
        <w:trPr>
          <w:trHeight w:val="134"/>
        </w:trPr>
        <w:tc>
          <w:tcPr>
            <w:tcW w:w="44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James Burns</w:t>
            </w:r>
          </w:p>
        </w:tc>
        <w:tc>
          <w:tcPr>
            <w:tcW w:w="72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5"/>
                <w:szCs w:val="15"/>
                <w:color w:val="auto"/>
              </w:rPr>
              <w:t>2025</w:t>
            </w:r>
          </w:p>
        </w:tc>
        <w:tc>
          <w:tcPr>
            <w:tcW w:w="7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527,275</w:t>
            </w:r>
          </w:p>
        </w:tc>
        <w:tc>
          <w:tcPr>
            <w:tcW w:w="700" w:type="dxa"/>
            <w:vAlign w:val="bottom"/>
            <w:gridSpan w:val="2"/>
            <w:shd w:val="clear" w:color="auto" w:fill="CCEEFF"/>
          </w:tcPr>
          <w:p>
            <w:pPr>
              <w:ind w:left="320"/>
              <w:spacing w:after="0" w:line="134"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786,898</w:t>
            </w: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802,008</w:t>
            </w:r>
          </w:p>
        </w:tc>
        <w:tc>
          <w:tcPr>
            <w:tcW w:w="104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237,274</w:t>
            </w:r>
          </w:p>
        </w:tc>
        <w:tc>
          <w:tcPr>
            <w:tcW w:w="102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15,961</w:t>
            </w:r>
          </w:p>
        </w:tc>
        <w:tc>
          <w:tcPr>
            <w:tcW w:w="72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2,369,416</w:t>
            </w:r>
          </w:p>
        </w:tc>
        <w:tc>
          <w:tcPr>
            <w:tcW w:w="0" w:type="dxa"/>
            <w:vAlign w:val="bottom"/>
          </w:tcPr>
          <w:p>
            <w:pPr>
              <w:spacing w:after="0"/>
              <w:rPr>
                <w:sz w:val="1"/>
                <w:szCs w:val="1"/>
                <w:color w:val="auto"/>
              </w:rPr>
            </w:pPr>
          </w:p>
        </w:tc>
      </w:tr>
      <w:tr>
        <w:trPr>
          <w:trHeight w:val="166"/>
        </w:trPr>
        <w:tc>
          <w:tcPr>
            <w:tcW w:w="444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Legal Officer</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2024</w:t>
            </w:r>
          </w:p>
        </w:tc>
        <w:tc>
          <w:tcPr>
            <w:tcW w:w="76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511,917</w:t>
            </w:r>
          </w:p>
        </w:tc>
        <w:tc>
          <w:tcPr>
            <w:tcW w:w="700" w:type="dxa"/>
            <w:vAlign w:val="bottom"/>
            <w:gridSpan w:val="2"/>
            <w:shd w:val="clear" w:color="auto" w:fill="CCEEFF"/>
          </w:tcPr>
          <w:p>
            <w:pPr>
              <w:ind w:left="3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548,590</w:t>
            </w:r>
          </w:p>
        </w:tc>
        <w:tc>
          <w:tcPr>
            <w:tcW w:w="82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1,068,185</w:t>
            </w:r>
          </w:p>
        </w:tc>
        <w:tc>
          <w:tcPr>
            <w:tcW w:w="1040" w:type="dxa"/>
            <w:vAlign w:val="bottom"/>
            <w:gridSpan w:val="2"/>
            <w:shd w:val="clear" w:color="auto" w:fill="CCEEFF"/>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287,954</w:t>
            </w:r>
          </w:p>
        </w:tc>
        <w:tc>
          <w:tcPr>
            <w:tcW w:w="1020" w:type="dxa"/>
            <w:vAlign w:val="bottom"/>
            <w:gridSpan w:val="2"/>
            <w:shd w:val="clear" w:color="auto" w:fill="CCEEFF"/>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15,861</w:t>
            </w:r>
          </w:p>
        </w:tc>
        <w:tc>
          <w:tcPr>
            <w:tcW w:w="72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2,432,507</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497,007</w:t>
            </w:r>
          </w:p>
        </w:tc>
        <w:tc>
          <w:tcPr>
            <w:tcW w:w="70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300,120</w:t>
            </w: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614,478</w:t>
            </w: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507,838</w:t>
            </w:r>
          </w:p>
        </w:tc>
        <w:tc>
          <w:tcPr>
            <w:tcW w:w="10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15,097</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1,934,540</w:t>
            </w:r>
          </w:p>
        </w:tc>
        <w:tc>
          <w:tcPr>
            <w:tcW w:w="0" w:type="dxa"/>
            <w:vAlign w:val="bottom"/>
          </w:tcPr>
          <w:p>
            <w:pPr>
              <w:spacing w:after="0"/>
              <w:rPr>
                <w:sz w:val="1"/>
                <w:szCs w:val="1"/>
                <w:color w:val="auto"/>
              </w:rPr>
            </w:pPr>
          </w:p>
        </w:tc>
      </w:tr>
      <w:tr>
        <w:trPr>
          <w:trHeight w:val="134"/>
        </w:trPr>
        <w:tc>
          <w:tcPr>
            <w:tcW w:w="444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color w:val="auto"/>
              </w:rPr>
              <w:t>Sarah Gheuens, M.D., Ph.D.</w:t>
            </w:r>
          </w:p>
        </w:tc>
        <w:tc>
          <w:tcPr>
            <w:tcW w:w="40" w:type="dxa"/>
            <w:vAlign w:val="bottom"/>
          </w:tcPr>
          <w:p>
            <w:pPr>
              <w:spacing w:after="0"/>
              <w:rPr>
                <w:sz w:val="11"/>
                <w:szCs w:val="11"/>
                <w:color w:val="auto"/>
              </w:rPr>
            </w:pPr>
          </w:p>
        </w:tc>
        <w:tc>
          <w:tcPr>
            <w:tcW w:w="6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color w:val="auto"/>
              </w:rPr>
              <w:t>2025</w:t>
            </w:r>
          </w:p>
        </w:tc>
        <w:tc>
          <w:tcPr>
            <w:tcW w:w="7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601,060</w:t>
            </w:r>
          </w:p>
        </w:tc>
        <w:tc>
          <w:tcPr>
            <w:tcW w:w="700" w:type="dxa"/>
            <w:vAlign w:val="bottom"/>
            <w:gridSpan w:val="2"/>
          </w:tcPr>
          <w:p>
            <w:pPr>
              <w:ind w:left="320"/>
              <w:spacing w:after="0" w:line="134"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397,440</w:t>
            </w:r>
          </w:p>
        </w:tc>
        <w:tc>
          <w:tcPr>
            <w:tcW w:w="82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802,008</w:t>
            </w:r>
          </w:p>
        </w:tc>
        <w:tc>
          <w:tcPr>
            <w:tcW w:w="104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270,478</w:t>
            </w:r>
          </w:p>
        </w:tc>
        <w:tc>
          <w:tcPr>
            <w:tcW w:w="102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15,694</w:t>
            </w:r>
          </w:p>
        </w:tc>
        <w:tc>
          <w:tcPr>
            <w:tcW w:w="72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2,086,680</w:t>
            </w:r>
          </w:p>
        </w:tc>
        <w:tc>
          <w:tcPr>
            <w:tcW w:w="0" w:type="dxa"/>
            <w:vAlign w:val="bottom"/>
          </w:tcPr>
          <w:p>
            <w:pPr>
              <w:spacing w:after="0"/>
              <w:rPr>
                <w:sz w:val="1"/>
                <w:szCs w:val="1"/>
                <w:color w:val="auto"/>
              </w:rPr>
            </w:pPr>
          </w:p>
        </w:tc>
      </w:tr>
      <w:tr>
        <w:trPr>
          <w:trHeight w:val="166"/>
        </w:trPr>
        <w:tc>
          <w:tcPr>
            <w:tcW w:w="444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Medical Officer, Head of Research &amp; Development</w:t>
            </w:r>
          </w:p>
        </w:tc>
        <w:tc>
          <w:tcPr>
            <w:tcW w:w="72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5"/>
                <w:szCs w:val="15"/>
                <w:color w:val="auto"/>
              </w:rPr>
              <w:t>2024</w:t>
            </w:r>
          </w:p>
        </w:tc>
        <w:tc>
          <w:tcPr>
            <w:tcW w:w="76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583,495</w:t>
            </w:r>
          </w:p>
        </w:tc>
        <w:tc>
          <w:tcPr>
            <w:tcW w:w="700" w:type="dxa"/>
            <w:vAlign w:val="bottom"/>
            <w:gridSpan w:val="2"/>
          </w:tcPr>
          <w:p>
            <w:pPr>
              <w:ind w:left="3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548,590</w:t>
            </w:r>
          </w:p>
        </w:tc>
        <w:tc>
          <w:tcPr>
            <w:tcW w:w="82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1,068,185</w:t>
            </w:r>
          </w:p>
        </w:tc>
        <w:tc>
          <w:tcPr>
            <w:tcW w:w="1040" w:type="dxa"/>
            <w:vAlign w:val="bottom"/>
            <w:gridSpan w:val="2"/>
          </w:tcPr>
          <w:p>
            <w:pPr>
              <w:jc w:val="right"/>
              <w:ind w:right="160"/>
              <w:spacing w:after="0" w:line="166" w:lineRule="exact"/>
              <w:rPr>
                <w:sz w:val="20"/>
                <w:szCs w:val="20"/>
                <w:color w:val="auto"/>
              </w:rPr>
            </w:pPr>
            <w:r>
              <w:rPr>
                <w:rFonts w:ascii="Times New Roman" w:cs="Times New Roman" w:eastAsia="Times New Roman" w:hAnsi="Times New Roman"/>
                <w:sz w:val="15"/>
                <w:szCs w:val="15"/>
                <w:color w:val="auto"/>
              </w:rPr>
              <w:t>328,216</w:t>
            </w:r>
          </w:p>
        </w:tc>
        <w:tc>
          <w:tcPr>
            <w:tcW w:w="1020" w:type="dxa"/>
            <w:vAlign w:val="bottom"/>
            <w:gridSpan w:val="2"/>
          </w:tcPr>
          <w:p>
            <w:pPr>
              <w:jc w:val="right"/>
              <w:ind w:right="140"/>
              <w:spacing w:after="0" w:line="166" w:lineRule="exact"/>
              <w:rPr>
                <w:sz w:val="20"/>
                <w:szCs w:val="20"/>
                <w:color w:val="auto"/>
              </w:rPr>
            </w:pPr>
            <w:r>
              <w:rPr>
                <w:rFonts w:ascii="Times New Roman" w:cs="Times New Roman" w:eastAsia="Times New Roman" w:hAnsi="Times New Roman"/>
                <w:sz w:val="15"/>
                <w:szCs w:val="15"/>
                <w:color w:val="auto"/>
              </w:rPr>
              <w:t>15,861</w:t>
            </w:r>
          </w:p>
        </w:tc>
        <w:tc>
          <w:tcPr>
            <w:tcW w:w="72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2,544,347</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566,500</w:t>
            </w:r>
          </w:p>
        </w:tc>
        <w:tc>
          <w:tcPr>
            <w:tcW w:w="7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1,008,114</w:t>
            </w: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614,478</w:t>
            </w: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666,964</w:t>
            </w: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14,103</w:t>
            </w: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2,870,159</w:t>
            </w:r>
          </w:p>
        </w:tc>
        <w:tc>
          <w:tcPr>
            <w:tcW w:w="0" w:type="dxa"/>
            <w:vAlign w:val="bottom"/>
          </w:tcPr>
          <w:p>
            <w:pPr>
              <w:spacing w:after="0"/>
              <w:rPr>
                <w:sz w:val="1"/>
                <w:szCs w:val="1"/>
                <w:color w:val="auto"/>
              </w:rPr>
            </w:pPr>
          </w:p>
        </w:tc>
      </w:tr>
      <w:tr>
        <w:trPr>
          <w:trHeight w:val="134"/>
        </w:trPr>
        <w:tc>
          <w:tcPr>
            <w:tcW w:w="44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Krishnan Viswanadhan, Pharm.D</w:t>
            </w:r>
          </w:p>
        </w:tc>
        <w:tc>
          <w:tcPr>
            <w:tcW w:w="720" w:type="dxa"/>
            <w:vAlign w:val="bottom"/>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5"/>
                <w:szCs w:val="15"/>
                <w:color w:val="auto"/>
              </w:rPr>
              <w:t>2025(4)</w:t>
            </w:r>
          </w:p>
        </w:tc>
        <w:tc>
          <w:tcPr>
            <w:tcW w:w="76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433,125</w:t>
            </w:r>
          </w:p>
        </w:tc>
        <w:tc>
          <w:tcPr>
            <w:tcW w:w="700" w:type="dxa"/>
            <w:vAlign w:val="bottom"/>
            <w:gridSpan w:val="2"/>
            <w:shd w:val="clear" w:color="auto" w:fill="CCEEFF"/>
          </w:tcPr>
          <w:p>
            <w:pPr>
              <w:ind w:left="40"/>
              <w:spacing w:after="0" w:line="134" w:lineRule="exact"/>
              <w:rPr>
                <w:sz w:val="20"/>
                <w:szCs w:val="20"/>
                <w:color w:val="auto"/>
              </w:rPr>
            </w:pPr>
            <w:r>
              <w:rPr>
                <w:rFonts w:ascii="Times New Roman" w:cs="Times New Roman" w:eastAsia="Times New Roman" w:hAnsi="Times New Roman"/>
                <w:sz w:val="15"/>
                <w:szCs w:val="15"/>
                <w:color w:val="auto"/>
              </w:rPr>
              <w:t>250,000</w:t>
            </w:r>
          </w:p>
        </w:tc>
        <w:tc>
          <w:tcPr>
            <w:tcW w:w="80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824,985</w:t>
            </w:r>
          </w:p>
        </w:tc>
        <w:tc>
          <w:tcPr>
            <w:tcW w:w="82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1,048,532</w:t>
            </w:r>
          </w:p>
        </w:tc>
        <w:tc>
          <w:tcPr>
            <w:tcW w:w="104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5"/>
                <w:szCs w:val="15"/>
                <w:color w:val="auto"/>
              </w:rPr>
              <w:t>236,250</w:t>
            </w:r>
          </w:p>
        </w:tc>
        <w:tc>
          <w:tcPr>
            <w:tcW w:w="102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5"/>
                <w:szCs w:val="15"/>
                <w:color w:val="auto"/>
              </w:rPr>
              <w:t>12,134</w:t>
            </w:r>
          </w:p>
        </w:tc>
        <w:tc>
          <w:tcPr>
            <w:tcW w:w="720" w:type="dxa"/>
            <w:vAlign w:val="bottom"/>
            <w:gridSpan w:val="2"/>
            <w:shd w:val="clear" w:color="auto" w:fill="CCEEFF"/>
          </w:tcPr>
          <w:p>
            <w:pPr>
              <w:jc w:val="right"/>
              <w:ind w:right="40"/>
              <w:spacing w:after="0" w:line="134" w:lineRule="exact"/>
              <w:rPr>
                <w:sz w:val="20"/>
                <w:szCs w:val="20"/>
                <w:color w:val="auto"/>
              </w:rPr>
            </w:pPr>
            <w:r>
              <w:rPr>
                <w:rFonts w:ascii="Times New Roman" w:cs="Times New Roman" w:eastAsia="Times New Roman" w:hAnsi="Times New Roman"/>
                <w:sz w:val="15"/>
                <w:szCs w:val="15"/>
                <w:color w:val="auto"/>
              </w:rPr>
              <w:t>2,805,026</w:t>
            </w:r>
          </w:p>
        </w:tc>
        <w:tc>
          <w:tcPr>
            <w:tcW w:w="0" w:type="dxa"/>
            <w:vAlign w:val="bottom"/>
          </w:tcPr>
          <w:p>
            <w:pPr>
              <w:spacing w:after="0"/>
              <w:rPr>
                <w:sz w:val="1"/>
                <w:szCs w:val="1"/>
                <w:color w:val="auto"/>
              </w:rPr>
            </w:pPr>
          </w:p>
        </w:tc>
      </w:tr>
      <w:tr>
        <w:trPr>
          <w:trHeight w:val="166"/>
        </w:trPr>
        <w:tc>
          <w:tcPr>
            <w:tcW w:w="4440" w:type="dxa"/>
            <w:vAlign w:val="bottom"/>
            <w:gridSpan w:val="2"/>
            <w:shd w:val="clear" w:color="auto" w:fill="CCEEFF"/>
          </w:tcPr>
          <w:p>
            <w:pPr>
              <w:ind w:left="140"/>
              <w:spacing w:after="0" w:line="166" w:lineRule="exact"/>
              <w:rPr>
                <w:sz w:val="20"/>
                <w:szCs w:val="20"/>
                <w:color w:val="auto"/>
              </w:rPr>
            </w:pPr>
            <w:r>
              <w:rPr>
                <w:rFonts w:ascii="Times New Roman" w:cs="Times New Roman" w:eastAsia="Times New Roman" w:hAnsi="Times New Roman"/>
                <w:sz w:val="15"/>
                <w:szCs w:val="15"/>
                <w:i w:val="1"/>
                <w:iCs w:val="1"/>
                <w:color w:val="auto"/>
              </w:rPr>
              <w:t>Chief Corporate Development &amp; Strategy Officer</w:t>
            </w: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
              <w:spacing w:after="0" w:line="166" w:lineRule="exact"/>
              <w:rPr>
                <w:sz w:val="20"/>
                <w:szCs w:val="20"/>
                <w:color w:val="auto"/>
              </w:rPr>
            </w:pPr>
            <w:r>
              <w:rPr>
                <w:rFonts w:ascii="Times New Roman" w:cs="Times New Roman" w:eastAsia="Times New Roman" w:hAnsi="Times New Roman"/>
                <w:sz w:val="15"/>
                <w:szCs w:val="15"/>
                <w:color w:val="auto"/>
              </w:rPr>
              <w:t>2024</w:t>
            </w:r>
          </w:p>
        </w:tc>
        <w:tc>
          <w:tcPr>
            <w:tcW w:w="760" w:type="dxa"/>
            <w:vAlign w:val="bottom"/>
            <w:gridSpan w:val="2"/>
            <w:shd w:val="clear" w:color="auto" w:fill="CCEEFF"/>
          </w:tcPr>
          <w:p>
            <w:pPr>
              <w:ind w:left="38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700" w:type="dxa"/>
            <w:vAlign w:val="bottom"/>
            <w:gridSpan w:val="2"/>
            <w:shd w:val="clear" w:color="auto" w:fill="CCEEFF"/>
          </w:tcPr>
          <w:p>
            <w:pPr>
              <w:ind w:left="3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shd w:val="clear" w:color="auto" w:fill="CCEEFF"/>
          </w:tcPr>
          <w:p>
            <w:pPr>
              <w:ind w:left="42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shd w:val="clear" w:color="auto" w:fill="CCEEFF"/>
          </w:tcPr>
          <w:p>
            <w:pPr>
              <w:jc w:val="right"/>
              <w:ind w:right="2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2"/>
            <w:shd w:val="clear" w:color="auto" w:fill="CCEEFF"/>
          </w:tcPr>
          <w:p>
            <w:pPr>
              <w:jc w:val="right"/>
              <w:ind w:right="20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shd w:val="clear" w:color="auto" w:fill="CCEEFF"/>
          </w:tcPr>
          <w:p>
            <w:pPr>
              <w:jc w:val="right"/>
              <w:ind w:right="18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shd w:val="clear" w:color="auto" w:fill="CCEEFF"/>
          </w:tcPr>
          <w:p>
            <w:pPr>
              <w:ind w:left="440"/>
              <w:spacing w:after="0" w:line="166"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9"/>
        </w:trPr>
        <w:tc>
          <w:tcPr>
            <w:tcW w:w="1100" w:type="dxa"/>
            <w:vAlign w:val="bottom"/>
            <w:tcBorders>
              <w:bottom w:val="single" w:sz="8" w:color="auto"/>
            </w:tcBorders>
            <w:shd w:val="clear" w:color="auto" w:fill="CCEEFF"/>
          </w:tcPr>
          <w:p>
            <w:pPr>
              <w:spacing w:after="0"/>
              <w:rPr>
                <w:sz w:val="15"/>
                <w:szCs w:val="15"/>
                <w:color w:val="auto"/>
              </w:rPr>
            </w:pPr>
          </w:p>
        </w:tc>
        <w:tc>
          <w:tcPr>
            <w:tcW w:w="33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— </w:t>
            </w: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40" w:right="40" w:hanging="424"/>
        <w:spacing w:after="0" w:line="25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listed represent the aggregate fair value amount computed as of the grant date of options, RSUs and PSUs granted in accordance with FASB ASC Topic 718. Assumptions used in the calculation of these amounts are included in Note 9, Share-Based Payments, of the Notes to our Consolidated Financial Statements in our Annual Report on Form 10-K filed with the SEC on February 12, 2026. In accordance with SEC rules, for PSUs, these amounts are calculated based on the probable outcome of the performance conditions on the grant date. For each PSU granted during 2025, we determined that, as of the respective dates of grant, it was not probable, as defined under applicable accounting standards that any of the performance conditions would be achieved and, as a result, we assigned a grant date fair value of $0. The value of the 2025 PSU awards for Mr. Goff, Ms. Jones, Mr. Burns, Dr. Gheuens and Dr. Viswanadhan at the respective grant dates assuming that the highest level of performance conditions were achieved would be $2,583,360, $397,440, $397,440, $397,440 and $957,390, respectively. The value of the 2024 PSU awards for Mr. Goff, Ms. Jones, Mr. Burns and Dr. Gheuens at the respective grant dates assuming that the highest level of performance conditions were achieved would be $1,742,580, $548,590, $548,590 and $548,590, respectively. The value of the 2023 PSU awards for Mr. Goff, Ms. Jones,</w:t>
      </w:r>
    </w:p>
    <w:p>
      <w:pPr>
        <w:spacing w:after="0" w:line="5" w:lineRule="exact"/>
        <w:rPr>
          <w:rFonts w:ascii="Times New Roman" w:cs="Times New Roman" w:eastAsia="Times New Roman" w:hAnsi="Times New Roman"/>
          <w:sz w:val="18"/>
          <w:szCs w:val="18"/>
          <w:color w:val="auto"/>
        </w:rPr>
      </w:pPr>
    </w:p>
    <w:p>
      <w:pPr>
        <w:ind w:left="540" w:right="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Burns and Dr. Gheuens at the respective grant dates assuming that the highest level of performance conditions were achieved would be $637,755, $300,120, $300,120 and $300,120, respectively</w:t>
      </w:r>
    </w:p>
    <w:p>
      <w:pPr>
        <w:spacing w:after="0" w:line="262"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awards to each of our NEOs under our annual performance-based cash incentive program and in addition, for 2023 only, awards for Mr. Burns and Dr. Gheuens under our performance-based cash bonus plan adopted in December 2022. Annual cash incentive compensation earned during the year is typically paid in the following year. The performance-based cash bonus payments were earned in 2023 and paid in January 2024 in the amounts of $248,400 to Mr. Burns and $371,250 to Dr. Gheuens.</w:t>
      </w:r>
    </w:p>
    <w:p>
      <w:pPr>
        <w:spacing w:after="0" w:line="260" w:lineRule="exact"/>
        <w:rPr>
          <w:rFonts w:ascii="Times New Roman" w:cs="Times New Roman" w:eastAsia="Times New Roman" w:hAnsi="Times New Roman"/>
          <w:sz w:val="18"/>
          <w:szCs w:val="18"/>
          <w:color w:val="auto"/>
        </w:rPr>
      </w:pPr>
    </w:p>
    <w:p>
      <w:pPr>
        <w:ind w:left="540" w:right="340" w:hanging="424"/>
        <w:spacing w:after="0" w:line="26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amounts include a matching contribution under the company’s 401(k) plan for Mr. Goff, Ms. Jones, Mr. Burns, Dr. Gheuens and Dr. Viswanadhan of $9,828, $14,000, $14,000, $13,733 and $10,500, respectively. Amounts also include the dollar value of company-paid life insurance and disability insurance premiums paid during the fiscal year for the NEO.</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40" w:hanging="424"/>
        <w:spacing w:after="0" w:line="266"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Viswanadhan’s 2025 annualized base salary was $525,000; however, as Dr. Viswanadhan joined the company as our chief corporate development &amp; strategy officer effective March 5, 2025, his base salary reported was pro-rated in 2025. In addition, in 2025, Dr. Viswanadhan received a sign on bonus of $250,000 and received stock option, RSU and PSU awards upon hire.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121" w:lineRule="exact"/>
        <w:rPr>
          <w:sz w:val="20"/>
          <w:szCs w:val="20"/>
          <w:color w:val="auto"/>
        </w:rPr>
      </w:pPr>
    </w:p>
    <w:p>
      <w:pPr>
        <w:ind w:left="120" w:right="220" w:firstLine="991"/>
        <w:spacing w:after="0" w:line="273" w:lineRule="auto"/>
        <w:rPr>
          <w:sz w:val="20"/>
          <w:szCs w:val="20"/>
          <w:color w:val="auto"/>
        </w:rPr>
      </w:pPr>
      <w:r>
        <w:rPr>
          <w:rFonts w:ascii="Times New Roman" w:cs="Times New Roman" w:eastAsia="Times New Roman" w:hAnsi="Times New Roman"/>
          <w:sz w:val="17"/>
          <w:szCs w:val="17"/>
          <w:color w:val="auto"/>
        </w:rPr>
        <w:t>The following table sets forth information concerning each grant of an award made to a NEO during the fiscal year ended December 31, 2025 under any plan, contract, authorization or arrangement pursuant to which cash, securities, similar instruments or other property may be received. The cash awards were made under our annual performance-based cash incentive program. The new hire equity awards granted to Dr. Viswanathan in March 2025 were made outside of our 2023 Stock Incentive Plan, as amended, as inducements material to his entry into employment with us in accordance with Nasdaq Listing Rule 5635(c)(4). All of the other equity awards granted to our NEOs in 2025 were made under our 2023 Stock Incentive Plan, as amended. Each grant was authorized by our compensation &amp; people committee, or board of directors, as applicable. For more information on equity acceleration benefits under specified circumstances, see “</w:t>
      </w:r>
      <w:r>
        <w:rPr>
          <w:rFonts w:ascii="Times New Roman" w:cs="Times New Roman" w:eastAsia="Times New Roman" w:hAnsi="Times New Roman"/>
          <w:sz w:val="17"/>
          <w:szCs w:val="17"/>
          <w:i w:val="1"/>
          <w:iCs w:val="1"/>
          <w:color w:val="auto"/>
        </w:rPr>
        <w:t>—Employment, Severance and Change in Control Arrangements</w:t>
      </w:r>
      <w:r>
        <w:rPr>
          <w:rFonts w:ascii="Times New Roman" w:cs="Times New Roman" w:eastAsia="Times New Roman" w:hAnsi="Times New Roman"/>
          <w:sz w:val="17"/>
          <w:szCs w:val="17"/>
          <w:color w:val="auto"/>
        </w:rPr>
        <w: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4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420" w:type="dxa"/>
            <w:vAlign w:val="bottom"/>
            <w:gridSpan w:val="6"/>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Awards(1)</w:t>
            </w:r>
          </w:p>
        </w:tc>
        <w:tc>
          <w:tcPr>
            <w:tcW w:w="64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vMerge w:val="restart"/>
          </w:tcPr>
          <w:p>
            <w:pPr>
              <w:jc w:val="center"/>
              <w:ind w:right="300"/>
              <w:spacing w:after="0" w:line="11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00" w:type="dxa"/>
            <w:vAlign w:val="bottom"/>
            <w:gridSpan w:val="2"/>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640" w:type="dxa"/>
            <w:vAlign w:val="bottom"/>
            <w:gridSpan w:val="2"/>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Price of</w:t>
            </w:r>
          </w:p>
        </w:tc>
        <w:tc>
          <w:tcPr>
            <w:tcW w:w="84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63"/>
        </w:trPr>
        <w:tc>
          <w:tcPr>
            <w:tcW w:w="1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20" w:type="dxa"/>
            <w:vAlign w:val="bottom"/>
          </w:tcPr>
          <w:p>
            <w:pPr>
              <w:spacing w:after="0"/>
              <w:rPr>
                <w:sz w:val="12"/>
                <w:szCs w:val="12"/>
                <w:color w:val="auto"/>
              </w:rPr>
            </w:pPr>
          </w:p>
        </w:tc>
        <w:tc>
          <w:tcPr>
            <w:tcW w:w="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Grant Type</w:t>
            </w:r>
          </w:p>
        </w:tc>
        <w:tc>
          <w:tcPr>
            <w:tcW w:w="7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73"/>
        </w:trPr>
        <w:tc>
          <w:tcPr>
            <w:tcW w:w="1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40" w:type="dxa"/>
            <w:vAlign w:val="bottom"/>
            <w:gridSpan w:val="2"/>
            <w:vMerge w:val="continue"/>
          </w:tcPr>
          <w:p>
            <w:pPr>
              <w:spacing w:after="0"/>
              <w:rPr>
                <w:sz w:val="15"/>
                <w:szCs w:val="15"/>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4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Brian Goff</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Annual Incentive</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2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592,804</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889,206</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78,000(5)</w:t>
            </w: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78,000(5)</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39,000(6)</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1,291,680</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3/1/2025</w:t>
            </w:r>
          </w:p>
        </w:tc>
        <w:tc>
          <w:tcPr>
            <w:tcW w:w="11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142,500</w:t>
            </w: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33.12</w:t>
            </w: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2,627,252</w:t>
            </w:r>
          </w:p>
        </w:tc>
        <w:tc>
          <w:tcPr>
            <w:tcW w:w="0" w:type="dxa"/>
            <w:vAlign w:val="bottom"/>
          </w:tcPr>
          <w:p>
            <w:pPr>
              <w:spacing w:after="0"/>
              <w:rPr>
                <w:sz w:val="1"/>
                <w:szCs w:val="1"/>
                <w:color w:val="auto"/>
              </w:rPr>
            </w:pPr>
          </w:p>
        </w:tc>
      </w:tr>
      <w:tr>
        <w:trPr>
          <w:trHeight w:val="119"/>
        </w:trPr>
        <w:tc>
          <w:tcPr>
            <w:tcW w:w="14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Cecilia Jones</w:t>
            </w: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Annual Incentive</w:t>
            </w:r>
          </w:p>
        </w:tc>
        <w:tc>
          <w:tcPr>
            <w:tcW w:w="720" w:type="dxa"/>
            <w:vAlign w:val="bottom"/>
            <w:gridSpan w:val="2"/>
          </w:tcPr>
          <w:p>
            <w:pPr>
              <w:ind w:left="42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240,789</w:t>
            </w: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3"/>
                <w:szCs w:val="13"/>
                <w:color w:val="auto"/>
              </w:rPr>
              <w:t>361,184</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12,000(5)</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12,000(5)</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12,000(6)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397,440</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15,910(6)</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43,500</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526,939</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3/1/2025</w:t>
            </w:r>
          </w:p>
        </w:tc>
        <w:tc>
          <w:tcPr>
            <w:tcW w:w="11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802,008</w:t>
            </w:r>
          </w:p>
        </w:tc>
        <w:tc>
          <w:tcPr>
            <w:tcW w:w="0" w:type="dxa"/>
            <w:vAlign w:val="bottom"/>
          </w:tcPr>
          <w:p>
            <w:pPr>
              <w:spacing w:after="0"/>
              <w:rPr>
                <w:sz w:val="1"/>
                <w:szCs w:val="1"/>
                <w:color w:val="auto"/>
              </w:rPr>
            </w:pPr>
          </w:p>
        </w:tc>
      </w:tr>
      <w:tr>
        <w:trPr>
          <w:trHeight w:val="119"/>
        </w:trPr>
        <w:tc>
          <w:tcPr>
            <w:tcW w:w="14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James Burns</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Annual Incentive</w:t>
            </w:r>
          </w:p>
        </w:tc>
        <w:tc>
          <w:tcPr>
            <w:tcW w:w="720" w:type="dxa"/>
            <w:vAlign w:val="bottom"/>
            <w:gridSpan w:val="2"/>
            <w:shd w:val="clear" w:color="auto" w:fill="CCEEFF"/>
          </w:tcPr>
          <w:p>
            <w:pPr>
              <w:ind w:left="42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620" w:type="dxa"/>
            <w:vAlign w:val="bottom"/>
            <w:gridSpan w:val="2"/>
            <w:shd w:val="clear" w:color="auto" w:fill="CCEEFF"/>
          </w:tcPr>
          <w:p>
            <w:pPr>
              <w:jc w:val="center"/>
              <w:ind w:right="40"/>
              <w:spacing w:after="0" w:line="119" w:lineRule="exact"/>
              <w:rPr>
                <w:sz w:val="20"/>
                <w:szCs w:val="20"/>
                <w:color w:val="auto"/>
              </w:rPr>
            </w:pPr>
            <w:r>
              <w:rPr>
                <w:rFonts w:ascii="Times New Roman" w:cs="Times New Roman" w:eastAsia="Times New Roman" w:hAnsi="Times New Roman"/>
                <w:sz w:val="13"/>
                <w:szCs w:val="13"/>
                <w:color w:val="auto"/>
              </w:rPr>
              <w:t>237,274</w:t>
            </w:r>
          </w:p>
        </w:tc>
        <w:tc>
          <w:tcPr>
            <w:tcW w:w="740" w:type="dxa"/>
            <w:vAlign w:val="bottom"/>
            <w:gridSpan w:val="2"/>
            <w:shd w:val="clear" w:color="auto" w:fill="CCEEFF"/>
          </w:tcPr>
          <w:p>
            <w:pPr>
              <w:jc w:val="right"/>
              <w:ind w:right="100"/>
              <w:spacing w:after="0" w:line="119" w:lineRule="exact"/>
              <w:rPr>
                <w:sz w:val="20"/>
                <w:szCs w:val="20"/>
                <w:color w:val="auto"/>
              </w:rPr>
            </w:pPr>
            <w:r>
              <w:rPr>
                <w:rFonts w:ascii="Times New Roman" w:cs="Times New Roman" w:eastAsia="Times New Roman" w:hAnsi="Times New Roman"/>
                <w:sz w:val="13"/>
                <w:szCs w:val="13"/>
                <w:color w:val="auto"/>
              </w:rPr>
              <w:t>355,911</w:t>
            </w:r>
          </w:p>
        </w:tc>
        <w:tc>
          <w:tcPr>
            <w:tcW w:w="640" w:type="dxa"/>
            <w:vAlign w:val="bottom"/>
            <w:shd w:val="clear" w:color="auto" w:fill="CCEEFF"/>
          </w:tcPr>
          <w:p>
            <w:pPr>
              <w:ind w:left="420"/>
              <w:spacing w:after="0" w:line="119"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12,000(5)</w:t>
            </w: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12,000(5)</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12,000(6)</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397,440</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6"/>
              </w:rPr>
              <w:t>3/1/2025</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11,759(6)</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389,458</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6"/>
              </w:rPr>
              <w:t>3/1/2025</w:t>
            </w: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43,500</w:t>
            </w: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33.12</w:t>
            </w: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802,008</w:t>
            </w:r>
          </w:p>
        </w:tc>
        <w:tc>
          <w:tcPr>
            <w:tcW w:w="0" w:type="dxa"/>
            <w:vAlign w:val="bottom"/>
          </w:tcPr>
          <w:p>
            <w:pPr>
              <w:spacing w:after="0"/>
              <w:rPr>
                <w:sz w:val="1"/>
                <w:szCs w:val="1"/>
                <w:color w:val="auto"/>
              </w:rPr>
            </w:pPr>
          </w:p>
        </w:tc>
      </w:tr>
      <w:tr>
        <w:trPr>
          <w:trHeight w:val="119"/>
        </w:trPr>
        <w:tc>
          <w:tcPr>
            <w:tcW w:w="14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Sarah Gheuens, M.D.,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Annual Incentive</w:t>
            </w: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270,478</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405,717</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12,000(5)</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12,000(5)</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12,000(6)</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0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3/1/2025</w:t>
            </w: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43,500</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397,440</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3/1/2025</w:t>
            </w:r>
          </w:p>
        </w:tc>
        <w:tc>
          <w:tcPr>
            <w:tcW w:w="114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802,008</w:t>
            </w:r>
          </w:p>
        </w:tc>
        <w:tc>
          <w:tcPr>
            <w:tcW w:w="0" w:type="dxa"/>
            <w:vAlign w:val="bottom"/>
          </w:tcPr>
          <w:p>
            <w:pPr>
              <w:spacing w:after="0"/>
              <w:rPr>
                <w:sz w:val="1"/>
                <w:szCs w:val="1"/>
                <w:color w:val="auto"/>
              </w:rPr>
            </w:pPr>
          </w:p>
        </w:tc>
      </w:tr>
      <w:tr>
        <w:trPr>
          <w:trHeight w:val="119"/>
        </w:trPr>
        <w:tc>
          <w:tcPr>
            <w:tcW w:w="14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Krishnan Viswanadhan,</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Annual Incentive</w:t>
            </w: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236,250</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354,375</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Pharm.D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3/5/2025</w:t>
            </w:r>
          </w:p>
        </w:tc>
        <w:tc>
          <w:tcPr>
            <w:tcW w:w="114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28,200(5)</w:t>
            </w:r>
          </w:p>
        </w:tc>
        <w:tc>
          <w:tcPr>
            <w:tcW w:w="9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28,200(5)</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3/5/2025</w:t>
            </w:r>
          </w:p>
        </w:tc>
        <w:tc>
          <w:tcPr>
            <w:tcW w:w="11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24,300(6)</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824,985</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3/5/2025</w:t>
            </w:r>
          </w:p>
        </w:tc>
        <w:tc>
          <w:tcPr>
            <w:tcW w:w="114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Stock Options</w:t>
            </w: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55,374</w:t>
            </w: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33.95</w:t>
            </w: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1,048,532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80" w:right="260" w:hanging="764"/>
        <w:spacing w:after="0" w:line="266"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the threshold, target and maximum columns reflect the minimum, target and maximum amounts, respectively, payable under our annual incentive cash program as described above under “Annual Performance-based Cash Incentives”. Actual amounts paid for 2025 performance are presented in the “Non-equity Incentive Plan Compensation” column of the Summary Compensation Table above.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80" w:right="160" w:hanging="764"/>
        <w:spacing w:after="0" w:line="282"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subject to time-based vesting criteria established by the compensation &amp; people committee or board of directors, as applicable, and described in the footnotes to the Outstanding Equity Awards at Fiscal Year-End table below.</w:t>
      </w:r>
    </w:p>
    <w:p>
      <w:pPr>
        <w:spacing w:after="0" w:line="188" w:lineRule="exact"/>
        <w:rPr>
          <w:rFonts w:ascii="Times New Roman" w:cs="Times New Roman" w:eastAsia="Times New Roman" w:hAnsi="Times New Roman"/>
          <w:sz w:val="18"/>
          <w:szCs w:val="18"/>
          <w:color w:val="auto"/>
        </w:rPr>
      </w:pPr>
    </w:p>
    <w:p>
      <w:pPr>
        <w:ind w:left="880" w:hanging="764"/>
        <w:spacing w:after="0"/>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these stock options is equal to the closing price of our common stock on the grant date.</w:t>
      </w:r>
    </w:p>
    <w:p>
      <w:pPr>
        <w:spacing w:after="0" w:line="252" w:lineRule="exact"/>
        <w:rPr>
          <w:rFonts w:ascii="Times New Roman" w:cs="Times New Roman" w:eastAsia="Times New Roman" w:hAnsi="Times New Roman"/>
          <w:sz w:val="18"/>
          <w:szCs w:val="18"/>
          <w:color w:val="auto"/>
        </w:rPr>
      </w:pPr>
    </w:p>
    <w:p>
      <w:pPr>
        <w:ind w:left="880" w:hanging="764"/>
        <w:spacing w:after="0" w:line="258"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listed represent the aggregate fair value amount computed as of the grant date of the awards in accordance with FASB ASC Topic 718. Assumptions used in the calculation of these amounts are included in Note 9, Share-Based Payments, of the Notes to our Consolidated Financial Statements in our Annual Report on Form 10-K filed with the SEC on February 12, 2026. For PSUs, these amounts reflect the grant date fair value of such awards based upon the probable outcome of the performance conditions at the time of grant as determined under applicable accounting standards.</w:t>
      </w:r>
    </w:p>
    <w:p>
      <w:pPr>
        <w:spacing w:after="0" w:line="210" w:lineRule="exact"/>
        <w:rPr>
          <w:rFonts w:ascii="Times New Roman" w:cs="Times New Roman" w:eastAsia="Times New Roman" w:hAnsi="Times New Roman"/>
          <w:sz w:val="18"/>
          <w:szCs w:val="18"/>
          <w:color w:val="auto"/>
        </w:rPr>
      </w:pPr>
    </w:p>
    <w:p>
      <w:pPr>
        <w:ind w:left="880" w:right="420" w:hanging="764"/>
        <w:spacing w:after="0" w:line="261"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upon the achievement of specified corporate milestones established by the compensation &amp; people committee, or board of directors, as applicable, and described in the footnotes to the Outstanding Equity Awards at Fiscal Year-End table below. For each PSU granted during 2025, we determined that, as of the respective dates of grant, it was not probable, as defined under applicable accounting guidance, that any of the performance conditions would be achieved and assigned a grant date fair value of $0.</w:t>
      </w:r>
    </w:p>
    <w:p>
      <w:pPr>
        <w:spacing w:after="0" w:line="206" w:lineRule="exact"/>
        <w:rPr>
          <w:rFonts w:ascii="Times New Roman" w:cs="Times New Roman" w:eastAsia="Times New Roman" w:hAnsi="Times New Roman"/>
          <w:sz w:val="18"/>
          <w:szCs w:val="18"/>
          <w:color w:val="auto"/>
        </w:rPr>
      </w:pPr>
    </w:p>
    <w:p>
      <w:pPr>
        <w:ind w:left="880" w:right="320" w:hanging="764"/>
        <w:spacing w:after="0" w:line="282" w:lineRule="auto"/>
        <w:tabs>
          <w:tab w:leader="none" w:pos="8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subject to time-based vesting criteria established by the compensation &amp; people committee or board of directors, as applicable, and described in the footnotes to the Outstanding Equity Awards at Fiscal Year-End table below.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240" w:firstLine="991"/>
        <w:spacing w:after="0" w:line="312" w:lineRule="auto"/>
        <w:rPr>
          <w:sz w:val="20"/>
          <w:szCs w:val="20"/>
          <w:color w:val="auto"/>
        </w:rPr>
      </w:pPr>
      <w:r>
        <w:rPr>
          <w:rFonts w:ascii="Times New Roman" w:cs="Times New Roman" w:eastAsia="Times New Roman" w:hAnsi="Times New Roman"/>
          <w:sz w:val="17"/>
          <w:szCs w:val="17"/>
          <w:color w:val="auto"/>
        </w:rPr>
        <w:t>The following table sets forth information concerning outstanding equity awards for each of our NEOs at December 31, 2025. For more information on equity acceleration benefits under specified circumstances, see “</w:t>
      </w:r>
      <w:r>
        <w:rPr>
          <w:rFonts w:ascii="Times New Roman" w:cs="Times New Roman" w:eastAsia="Times New Roman" w:hAnsi="Times New Roman"/>
          <w:sz w:val="17"/>
          <w:szCs w:val="17"/>
          <w:i w:val="1"/>
          <w:iCs w:val="1"/>
          <w:color w:val="auto"/>
        </w:rPr>
        <w:t>-Employment, Severance and Change in Control Arrangements</w:t>
      </w:r>
      <w:r>
        <w:rPr>
          <w:rFonts w:ascii="Times New Roman" w:cs="Times New Roman" w:eastAsia="Times New Roman" w:hAnsi="Times New Roman"/>
          <w:sz w:val="17"/>
          <w:szCs w:val="17"/>
          <w:color w:val="auto"/>
        </w:rPr>
        <w:t>.”</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0" w:type="dxa"/>
            <w:vAlign w:val="bottom"/>
          </w:tcPr>
          <w:p>
            <w:pPr>
              <w:spacing w:after="0"/>
              <w:rPr>
                <w:sz w:val="11"/>
                <w:szCs w:val="11"/>
                <w:color w:val="auto"/>
              </w:rPr>
            </w:pPr>
          </w:p>
        </w:tc>
        <w:tc>
          <w:tcPr>
            <w:tcW w:w="8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0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0" w:type="dxa"/>
            <w:vAlign w:val="bottom"/>
          </w:tcPr>
          <w:p>
            <w:pPr>
              <w:spacing w:after="0"/>
              <w:rPr>
                <w:sz w:val="1"/>
                <w:szCs w:val="1"/>
                <w:color w:val="auto"/>
              </w:rPr>
            </w:pPr>
          </w:p>
        </w:tc>
      </w:tr>
      <w:tr>
        <w:trPr>
          <w:trHeight w:val="135"/>
        </w:trPr>
        <w:tc>
          <w:tcPr>
            <w:tcW w:w="3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1"/>
                <w:szCs w:val="11"/>
                <w:color w:val="auto"/>
              </w:rPr>
            </w:pPr>
          </w:p>
        </w:tc>
        <w:tc>
          <w:tcPr>
            <w:tcW w:w="7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8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55"/>
        </w:trPr>
        <w:tc>
          <w:tcPr>
            <w:tcW w:w="32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Date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Brian Goff</w:t>
            </w:r>
          </w:p>
        </w:tc>
        <w:tc>
          <w:tcPr>
            <w:tcW w:w="2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08/08/2022</w:t>
            </w: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467,563</w:t>
            </w:r>
          </w:p>
        </w:tc>
        <w:tc>
          <w:tcPr>
            <w:tcW w:w="10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93,520</w:t>
            </w: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$ 29.38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08/08/2032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880" w:type="dxa"/>
            <w:vAlign w:val="bottom"/>
            <w:gridSpan w:val="3"/>
            <w:vMerge w:val="continue"/>
            <w:shd w:val="clear" w:color="auto" w:fill="CCEEFF"/>
          </w:tcPr>
          <w:p>
            <w:pPr>
              <w:spacing w:after="0"/>
              <w:rPr>
                <w:sz w:val="10"/>
                <w:szCs w:val="10"/>
                <w:color w:val="auto"/>
              </w:rPr>
            </w:pPr>
          </w:p>
        </w:tc>
        <w:tc>
          <w:tcPr>
            <w:tcW w:w="1000" w:type="dxa"/>
            <w:vAlign w:val="bottom"/>
            <w:gridSpan w:val="3"/>
            <w:vMerge w:val="continue"/>
            <w:shd w:val="clear" w:color="auto" w:fill="CCEEFF"/>
          </w:tcPr>
          <w:p>
            <w:pPr>
              <w:spacing w:after="0"/>
              <w:rPr>
                <w:sz w:val="10"/>
                <w:szCs w:val="10"/>
                <w:color w:val="auto"/>
              </w:rPr>
            </w:pPr>
          </w:p>
        </w:tc>
        <w:tc>
          <w:tcPr>
            <w:tcW w:w="860" w:type="dxa"/>
            <w:vAlign w:val="bottom"/>
            <w:gridSpan w:val="3"/>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08/08/2022</w:t>
            </w: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64,965</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29,535</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$ 25.01</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231,370</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85,529</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109,971</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$ 32.27</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03/01/2034</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979,920</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142,500</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$ 33.12</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03/01/2035</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39,000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1,061,580</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03/01/2025</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2"/>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Cecilia Jones</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09/26/2022</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96,187</w:t>
            </w:r>
          </w:p>
        </w:tc>
        <w:tc>
          <w:tcPr>
            <w:tcW w:w="10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22,203</w:t>
            </w: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$ 27.88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09/26/2032</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326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15,118</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6,882</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$ 25.01</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03/01/2033</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54,440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26,250</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33,750</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$ 32.27</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03/01/2034</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11,333</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308,484</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43,500</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$ 33.12</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03/01/2035</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27,910</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759,710</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03/01/2025</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James Burns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5,420</w:t>
            </w:r>
          </w:p>
        </w:tc>
        <w:tc>
          <w:tcPr>
            <w:tcW w:w="10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$ 43.77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04/04/2026</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04/04/2016</w:t>
            </w:r>
          </w:p>
        </w:tc>
        <w:tc>
          <w:tcPr>
            <w:tcW w:w="880" w:type="dxa"/>
            <w:vAlign w:val="bottom"/>
            <w:gridSpan w:val="3"/>
            <w:vMerge w:val="continue"/>
            <w:shd w:val="clear" w:color="auto" w:fill="CCEEFF"/>
          </w:tcPr>
          <w:p>
            <w:pPr>
              <w:spacing w:after="0"/>
              <w:rPr>
                <w:sz w:val="10"/>
                <w:szCs w:val="10"/>
                <w:color w:val="auto"/>
              </w:rPr>
            </w:pPr>
          </w:p>
        </w:tc>
        <w:tc>
          <w:tcPr>
            <w:tcW w:w="1000" w:type="dxa"/>
            <w:vAlign w:val="bottom"/>
            <w:gridSpan w:val="3"/>
            <w:vMerge w:val="continue"/>
            <w:shd w:val="clear" w:color="auto" w:fill="CCEEFF"/>
          </w:tcPr>
          <w:p>
            <w:pPr>
              <w:spacing w:after="0"/>
              <w:rPr>
                <w:sz w:val="10"/>
                <w:szCs w:val="10"/>
                <w:color w:val="auto"/>
              </w:rPr>
            </w:pPr>
          </w:p>
        </w:tc>
        <w:tc>
          <w:tcPr>
            <w:tcW w:w="860" w:type="dxa"/>
            <w:vAlign w:val="bottom"/>
            <w:gridSpan w:val="3"/>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02/21/2017</w:t>
            </w: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5,749</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$ 50.40</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02/21/2027</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02/16/2018</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8,295</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$ 77.70</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02/16/2028</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02/22/2019</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8,690</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$ 58.86</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02/22/2029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02/14/2020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$ 51.51</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02/14/2030</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02/10/2021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$ 56.68</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02/10/2031</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38,435</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$ 32.20</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30,245</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13,755</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$ 25.01</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108,880</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33,750</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$ 32.27</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03/01/2034</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11,333</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308,484</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43,500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$ 33.12</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03/01/2035</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23,759</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646,720</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03/01/2025</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2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0" w:type="dxa"/>
            <w:vAlign w:val="bottom"/>
          </w:tcPr>
          <w:p>
            <w:pPr>
              <w:spacing w:after="0"/>
              <w:rPr>
                <w:sz w:val="1"/>
                <w:szCs w:val="1"/>
                <w:color w:val="auto"/>
              </w:rPr>
            </w:pPr>
          </w:p>
        </w:tc>
      </w:tr>
      <w:tr>
        <w:trPr>
          <w:trHeight w:val="135"/>
        </w:trPr>
        <w:tc>
          <w:tcPr>
            <w:tcW w:w="3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1"/>
                <w:szCs w:val="11"/>
                <w:color w:val="auto"/>
              </w:rPr>
            </w:pPr>
          </w:p>
        </w:tc>
        <w:tc>
          <w:tcPr>
            <w:tcW w:w="7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8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2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6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55"/>
        </w:trPr>
        <w:tc>
          <w:tcPr>
            <w:tcW w:w="33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Date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2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2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Sarah Gheuens, M.D., Ph.D.</w:t>
            </w:r>
          </w:p>
        </w:tc>
        <w:tc>
          <w:tcPr>
            <w:tcW w:w="2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12/02/2019</w:t>
            </w:r>
          </w:p>
        </w:tc>
        <w:tc>
          <w:tcPr>
            <w:tcW w:w="8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6,044</w:t>
            </w:r>
          </w:p>
        </w:tc>
        <w:tc>
          <w:tcPr>
            <w:tcW w:w="11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$ 38.72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12/02/2029</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880" w:type="dxa"/>
            <w:vAlign w:val="bottom"/>
            <w:gridSpan w:val="3"/>
            <w:vMerge w:val="continue"/>
            <w:shd w:val="clear" w:color="auto" w:fill="CCEEFF"/>
          </w:tcPr>
          <w:p>
            <w:pPr>
              <w:spacing w:after="0"/>
              <w:rPr>
                <w:sz w:val="10"/>
                <w:szCs w:val="10"/>
                <w:color w:val="auto"/>
              </w:rPr>
            </w:pPr>
          </w:p>
        </w:tc>
        <w:tc>
          <w:tcPr>
            <w:tcW w:w="1180" w:type="dxa"/>
            <w:vAlign w:val="bottom"/>
            <w:gridSpan w:val="3"/>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02/10/2021</w:t>
            </w: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3,243</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$ 56.68</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02/10/2031</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03/01/2022</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38,435</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$ 32.20</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03/01/2032</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12,375</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13,755</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$ 25.01</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03/01/2033</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108,880</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07/01/2023</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8,375</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227,968</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26,250</w:t>
            </w:r>
          </w:p>
        </w:tc>
        <w:tc>
          <w:tcPr>
            <w:tcW w:w="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33,750</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$ 32.27</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03/01/2034</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11,333</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308,484</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43,500</w:t>
            </w: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$ 33.12</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03/01/2035</w:t>
            </w: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03/01/2025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326,640</w:t>
            </w: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03/01/2025</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Krishnan Viswanadhan, Pharm.D</w:t>
            </w:r>
          </w:p>
        </w:tc>
        <w:tc>
          <w:tcPr>
            <w:tcW w:w="9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03/05/2025</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55,374</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$ 33.95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03/05/2035</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334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24,300</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661,446</w:t>
            </w: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03/05/2025</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9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03/05/2025</w:t>
            </w:r>
          </w:p>
        </w:tc>
        <w:tc>
          <w:tcPr>
            <w:tcW w:w="8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03/05/2025</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vMerge w:val="continue"/>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80" w:right="440" w:hanging="764"/>
        <w:spacing w:after="0" w:line="282"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vest with 25% of the shares underlying the option vesting on the first anniversary of the grant date and the remaining shares vesting monthly thereafter in equal increments over 36 months, subject to continued service.</w:t>
      </w:r>
    </w:p>
    <w:p>
      <w:pPr>
        <w:spacing w:after="0" w:line="242" w:lineRule="exact"/>
        <w:rPr>
          <w:rFonts w:ascii="Times New Roman" w:cs="Times New Roman" w:eastAsia="Times New Roman" w:hAnsi="Times New Roman"/>
          <w:sz w:val="18"/>
          <w:szCs w:val="18"/>
          <w:color w:val="auto"/>
        </w:rPr>
      </w:pPr>
    </w:p>
    <w:p>
      <w:pPr>
        <w:ind w:left="880" w:right="400" w:hanging="764"/>
        <w:spacing w:after="0" w:line="282"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each unit representing a contingent right to receive one share of common stock. One-third of the shares underlying the units vest on the first, second and third anniversaries of the grant date, subject to continued service.</w:t>
      </w:r>
    </w:p>
    <w:p>
      <w:pPr>
        <w:spacing w:after="0" w:line="242" w:lineRule="exact"/>
        <w:rPr>
          <w:rFonts w:ascii="Times New Roman" w:cs="Times New Roman" w:eastAsia="Times New Roman" w:hAnsi="Times New Roman"/>
          <w:sz w:val="18"/>
          <w:szCs w:val="18"/>
          <w:color w:val="auto"/>
        </w:rPr>
      </w:pPr>
    </w:p>
    <w:p>
      <w:pPr>
        <w:ind w:left="880" w:right="200" w:hanging="764"/>
        <w:spacing w:after="0" w:line="282"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are based on a price of $27.22 per share, which was the closing price of our common stock as reported on the Nasdaq Global Select Market on December 31, 2025, the last trading day of the year.</w:t>
      </w:r>
    </w:p>
    <w:p>
      <w:pPr>
        <w:spacing w:after="0" w:line="242" w:lineRule="exact"/>
        <w:rPr>
          <w:rFonts w:ascii="Times New Roman" w:cs="Times New Roman" w:eastAsia="Times New Roman" w:hAnsi="Times New Roman"/>
          <w:sz w:val="18"/>
          <w:szCs w:val="18"/>
          <w:color w:val="auto"/>
        </w:rPr>
      </w:pPr>
    </w:p>
    <w:p>
      <w:pPr>
        <w:ind w:left="880" w:right="100" w:hanging="764"/>
        <w:spacing w:after="0" w:line="256"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2025, Mr. Goff held PSUs for 25,528 shares with a market value as of December 31, 2025 calculated in accordance with footnote (3) of $694,872. Each unit represents a contingent right to receive one share of common stock. These PSUs vest upon the achievement of a specified clinical milestone that remained outstanding at December 31, 2025, as determined by our compensation &amp; people committee. The performance period for the remaining milestone ends on December 31, 2026. The performance milestones underlying this PSU are more fully described above under “2022 PSU Awards to Chief Executive Officer”, including the performance milestones that were achieved during 2023, 2024 and 2025.</w:t>
      </w:r>
    </w:p>
    <w:p>
      <w:pPr>
        <w:spacing w:after="0" w:line="268" w:lineRule="exact"/>
        <w:rPr>
          <w:rFonts w:ascii="Times New Roman" w:cs="Times New Roman" w:eastAsia="Times New Roman" w:hAnsi="Times New Roman"/>
          <w:sz w:val="18"/>
          <w:szCs w:val="18"/>
          <w:color w:val="auto"/>
        </w:rPr>
      </w:pPr>
    </w:p>
    <w:p>
      <w:pPr>
        <w:ind w:left="880" w:right="100" w:hanging="764"/>
        <w:spacing w:after="0" w:line="276" w:lineRule="auto"/>
        <w:tabs>
          <w:tab w:leader="none" w:pos="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December 31, 2025, Mr. Goff held PSUs for 54,000 shares, Ms. Jones, Mr. Burns and Dr. Gheuens each held PSUs for 17,000 shares, and Dr. Viswanadhan held PSUs for 16,200 shares, each with a market value as of December 31, 2025 calculated in accordance with footnote</w:t>
      </w: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of $1,469,880, $462,740,</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80" w:right="140"/>
        <w:spacing w:after="0" w:line="256" w:lineRule="auto"/>
        <w:rPr>
          <w:sz w:val="20"/>
          <w:szCs w:val="20"/>
          <w:color w:val="auto"/>
        </w:rPr>
      </w:pPr>
      <w:r>
        <w:rPr>
          <w:rFonts w:ascii="Times New Roman" w:cs="Times New Roman" w:eastAsia="Times New Roman" w:hAnsi="Times New Roman"/>
          <w:sz w:val="18"/>
          <w:szCs w:val="18"/>
          <w:color w:val="auto"/>
        </w:rPr>
        <w:t>$462,740, $462,740 and $440,964, respectively. Each unit represents a contingent right to receive one share of common stock. For Mr. Goff, 25% of the PSUs vest upon the achievement of a specified clinical milestone, with the remaining 75% of the PSUs vesting upon the achievement of a specified revenue milestone. For Ms. Jones, Mr. Burns, Dr. Gheuens and Dr. Viswanadhan, one-half of the PSUs vest upon the achievement of a specified clinical milestone, and the remaining half of the PSUs vest upon the achievement of a specified commercial milestone. All of the PSUs were unearned and unvested as of December 31, 2025. The performance milestones are more fully described above under “2024 PSU Program.”</w:t>
      </w:r>
    </w:p>
    <w:p>
      <w:pPr>
        <w:spacing w:after="0" w:line="268" w:lineRule="exact"/>
        <w:rPr>
          <w:sz w:val="20"/>
          <w:szCs w:val="20"/>
          <w:color w:val="auto"/>
        </w:rPr>
      </w:pPr>
    </w:p>
    <w:p>
      <w:pPr>
        <w:ind w:left="880" w:right="120" w:hanging="764"/>
        <w:spacing w:after="0" w:line="269" w:lineRule="auto"/>
        <w:tabs>
          <w:tab w:leader="none" w:pos="8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December 31, 2025, Mr. Goff held PSUs for 78,000 shares, and Ms. Jones, Mr. Burns, Dr. Gheuens and Dr. Viswanadhan each held PSUs for 12,000 shares, each with a market value as of December 31, 2025 calculated in accordance with footnote (3) of $2,123,160, $326,640, $326,640, $326,640 and $326,640, respectively. Each unit represents a contingent right to receive one share of common stock. For Mr. Goff, 25% of the PSUs vest upon the achievement of a specified clinical milestone, 25% of the PSUs vest upon the achievement of a second specified clinical milestone, with the remaining 50% of the PSUs vesting upon the achievement of a specified research milestone. For</w:t>
      </w:r>
    </w:p>
    <w:p>
      <w:pPr>
        <w:spacing w:after="0" w:line="2" w:lineRule="exact"/>
        <w:rPr>
          <w:rFonts w:ascii="Times New Roman" w:cs="Times New Roman" w:eastAsia="Times New Roman" w:hAnsi="Times New Roman"/>
          <w:sz w:val="17"/>
          <w:szCs w:val="17"/>
          <w:color w:val="auto"/>
        </w:rPr>
      </w:pPr>
    </w:p>
    <w:p>
      <w:pPr>
        <w:ind w:left="880"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Jones, Mr. Burns, Dr. Gheuens and Dr. Viswanadhan, one-half of the PSUs vest upon the achievement of a specified clinical milestone, 25% of the PSUs vest upon the achievement of a second specified clinical milestone, and the remaining 25% of the PSUs vest upon the achievement of a specified research milestone. All of the PSUs were unearned and unvested as of December 31, 2025. The performance milestones are more fully described above under “2025 PSU Program.”</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option exercises and stock vested for each of our NEOs during the fiscal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32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90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17"/>
        </w:trPr>
        <w:tc>
          <w:tcPr>
            <w:tcW w:w="4880" w:type="dxa"/>
            <w:vAlign w:val="bottom"/>
          </w:tcPr>
          <w:p>
            <w:pPr>
              <w:spacing w:after="0"/>
              <w:rPr>
                <w:sz w:val="10"/>
                <w:szCs w:val="10"/>
                <w:color w:val="auto"/>
              </w:rPr>
            </w:pPr>
          </w:p>
        </w:tc>
        <w:tc>
          <w:tcPr>
            <w:tcW w:w="184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340" w:type="dxa"/>
            <w:vAlign w:val="bottom"/>
          </w:tcPr>
          <w:p>
            <w:pPr>
              <w:spacing w:after="0"/>
              <w:rPr>
                <w:sz w:val="10"/>
                <w:szCs w:val="10"/>
                <w:color w:val="auto"/>
              </w:rPr>
            </w:pPr>
          </w:p>
        </w:tc>
        <w:tc>
          <w:tcPr>
            <w:tcW w:w="178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xml:space="preserve">on </w:t>
            </w:r>
            <w:r>
              <w:rPr>
                <w:rFonts w:ascii="Times New Roman" w:cs="Times New Roman" w:eastAsia="Times New Roman" w:hAnsi="Times New Roman"/>
                <w:sz w:val="14"/>
                <w:szCs w:val="14"/>
                <w:b w:val="1"/>
                <w:bCs w:val="1"/>
                <w:u w:val="single" w:color="auto"/>
                <w:color w:val="auto"/>
              </w:rPr>
              <w:t>Exercise($</w:t>
            </w:r>
            <w:r>
              <w:rPr>
                <w:rFonts w:ascii="Times New Roman" w:cs="Times New Roman" w:eastAsia="Times New Roman" w:hAnsi="Times New Roman"/>
                <w:sz w:val="14"/>
                <w:szCs w:val="14"/>
                <w:b w:val="1"/>
                <w:bCs w:val="1"/>
                <w:color w:val="auto"/>
              </w:rPr>
              <w:t>)(1)</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Vesting($)(2)</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w:t>
            </w:r>
          </w:p>
        </w:tc>
        <w:tc>
          <w:tcPr>
            <w:tcW w:w="148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125,746</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4,098,524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Cecilia Jones</w:t>
            </w:r>
          </w:p>
        </w:tc>
        <w:tc>
          <w:tcPr>
            <w:tcW w:w="18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27,139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909,035</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w:t>
            </w:r>
          </w:p>
        </w:tc>
        <w:tc>
          <w:tcPr>
            <w:tcW w:w="18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25,500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842,790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Sarah Gheuens M.D., Ph.D.</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17,870</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266,935</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33,874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1,121,309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Viswanadhan, Pharm.D</w:t>
            </w:r>
          </w:p>
        </w:tc>
        <w:tc>
          <w:tcPr>
            <w:tcW w:w="18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r>
    </w:tbl>
    <w:p>
      <w:pPr>
        <w:spacing w:after="0" w:line="103" w:lineRule="exact"/>
        <w:rPr>
          <w:sz w:val="20"/>
          <w:szCs w:val="20"/>
          <w:color w:val="auto"/>
        </w:rPr>
      </w:pPr>
    </w:p>
    <w:p>
      <w:pPr>
        <w:ind w:left="540" w:right="20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when the stock options were exercised represents the excess of the fair market value of the shares at the time of exercise over the exercise price of the stock options.</w:t>
      </w:r>
    </w:p>
    <w:p>
      <w:pPr>
        <w:spacing w:after="0" w:line="67"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when the stock awards vested represents the number of shares underlying the units vested multiplied by market value of the shares on the vesting date.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2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Employment Offer Letters and Employment Agreements</w:t>
      </w:r>
    </w:p>
    <w:p>
      <w:pPr>
        <w:spacing w:after="0" w:line="268" w:lineRule="exact"/>
        <w:rPr>
          <w:sz w:val="20"/>
          <w:szCs w:val="20"/>
          <w:color w:val="auto"/>
        </w:rPr>
      </w:pPr>
    </w:p>
    <w:p>
      <w:pPr>
        <w:ind w:left="120" w:right="160" w:firstLine="771"/>
        <w:spacing w:after="0" w:line="266" w:lineRule="auto"/>
        <w:rPr>
          <w:sz w:val="20"/>
          <w:szCs w:val="20"/>
          <w:color w:val="auto"/>
        </w:rPr>
      </w:pPr>
      <w:r>
        <w:rPr>
          <w:rFonts w:ascii="Times New Roman" w:cs="Times New Roman" w:eastAsia="Times New Roman" w:hAnsi="Times New Roman"/>
          <w:sz w:val="18"/>
          <w:szCs w:val="18"/>
          <w:color w:val="auto"/>
        </w:rPr>
        <w:t>We have entered into employment offer letters or employment agreements with each of our NEOs pursuant to which such NEO is employed “at will,” meaning we or each NEO may terminate the employment arrangement at any time. Such offer letters establish the NEO’s title, initial compensation arrangements, and eligibility for benefits made available to employees generally.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his appointment as chief executive officer, we entered into an employment agreement with Mr. Goff, effective August 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providing for the terms of his employment, including (i) an annual base salary of $775,000; (ii) an annual target bonus of at least 70% of his base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salary, to be pro-rated with respect to 2022; (iii) a one-time grant of an option to purchase 561,083 shares of common stock at an exercise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$29.38 per share, the closing price on the date of grant, which vested as to 25% of the underlying shares on August 8, 2023 and vests as to the remaining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on a monthly basis thereafter; (iv) a one-time grant of 68,073 RSUs, each unit representing a contingent right to receive one share of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which vested in equal annual installments on the first, second and third anniversaries of the date of grant; (v) a one-time grant of 170,183 PSUs,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representing a contingent right to receive one share of common stock, which vest as to the underlying shares of common stock upon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achievement of specified research, clinical and regulatory milestones, which are more fully described under “2022 PSU Awards to Chief Executive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 above; (vi) a relocation bonus of $250,000; and (vii) severance benefits as further described below. The stock options, RSUs and PSUs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 outside our 2013 Stock Incentive Plan, as an inducement material to Mr. Goff’s entry into employment with us in accordance with Nasdaq</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Listing Rule 5635(c)(4).</w:t>
      </w:r>
    </w:p>
    <w:p>
      <w:pPr>
        <w:spacing w:after="0" w:line="207" w:lineRule="exact"/>
        <w:rPr>
          <w:sz w:val="20"/>
          <w:szCs w:val="20"/>
          <w:color w:val="auto"/>
        </w:rPr>
      </w:pPr>
    </w:p>
    <w:p>
      <w:pPr>
        <w:ind w:left="120" w:right="60" w:firstLine="771"/>
        <w:spacing w:after="0" w:line="253" w:lineRule="auto"/>
        <w:rPr>
          <w:sz w:val="20"/>
          <w:szCs w:val="20"/>
          <w:color w:val="auto"/>
        </w:rPr>
      </w:pPr>
      <w:r>
        <w:rPr>
          <w:rFonts w:ascii="Times New Roman" w:cs="Times New Roman" w:eastAsia="Times New Roman" w:hAnsi="Times New Roman"/>
          <w:sz w:val="18"/>
          <w:szCs w:val="18"/>
          <w:color w:val="auto"/>
        </w:rPr>
        <w:t>In connection with her appointment as chief financial officer, we entered into an employment agreement with Ms. Jones, effective September 26, 2022, providing for the terms of her employment, including (i) an annual base salary of $475,000; (ii) an annual target bonus of at least 45% of her base salary, to be pro-rated with respect to 2022; (iii) a one-time grant of an option to purchase 118,390 shares of common stock at an exercise price of $27.88 per share, the closing price on the date of grant, which vested as to 25% of the underlying shares on September 26, 2023 and vests as to the remaining shares on a monthly basis thereafter; (iv) a one-time grant of 22,417 RSUs, each unit representing a contingent right to receive one share of common stock, which vested in equal annual installments on the first, second and third anniversaries of the date of</w:t>
      </w:r>
    </w:p>
    <w:p>
      <w:pPr>
        <w:spacing w:after="0" w:line="5"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7"/>
          <w:szCs w:val="17"/>
          <w:color w:val="auto"/>
        </w:rPr>
        <w:t>grant; (v) a one-time grant of 10,760 PSUs, each unit representing a contingent right to receive one share of common stock, which vested as to one-half of the underlying shares of common stock upon the achievement of specified clinical and regulatory milestones; (vi) a sign-on bonus of $175,000; and</w:t>
      </w:r>
    </w:p>
    <w:p>
      <w:pPr>
        <w:ind w:left="120" w:right="520" w:hanging="4"/>
        <w:spacing w:after="0" w:line="260" w:lineRule="auto"/>
        <w:tabs>
          <w:tab w:leader="none" w:pos="4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as further described below. The stock options, RSUs and PSUs were granted outside our 2013 Stock Incentive Plan, as an inducement material to Ms. Jones’ entry into employment with us in accordance with Nasdaq Listing Rule 5635(c)(4).</w:t>
      </w:r>
    </w:p>
    <w:p>
      <w:pPr>
        <w:spacing w:after="0" w:line="181" w:lineRule="exact"/>
        <w:rPr>
          <w:sz w:val="20"/>
          <w:szCs w:val="20"/>
          <w:color w:val="auto"/>
        </w:rPr>
      </w:pPr>
    </w:p>
    <w:p>
      <w:pPr>
        <w:ind w:left="120" w:right="260" w:firstLine="771"/>
        <w:spacing w:after="0" w:line="272" w:lineRule="auto"/>
        <w:rPr>
          <w:sz w:val="20"/>
          <w:szCs w:val="20"/>
          <w:color w:val="auto"/>
        </w:rPr>
      </w:pPr>
      <w:r>
        <w:rPr>
          <w:rFonts w:ascii="Times New Roman" w:cs="Times New Roman" w:eastAsia="Times New Roman" w:hAnsi="Times New Roman"/>
          <w:sz w:val="17"/>
          <w:szCs w:val="17"/>
          <w:color w:val="auto"/>
        </w:rPr>
        <w:t>In connection with his appointment as chief corporate development &amp; strategy officer, we entered into an employment agreement with Dr. Viswanadhan, effective March 5, 2025, providing for the terms of his employment, including (i) an annual base salary of $525,000; (ii) an annual target bonus of at least 45% of his base salary; (iii) a one-time grant of an option to purchase 55,374 shares of common stock at an exercise price of</w:t>
      </w:r>
    </w:p>
    <w:p>
      <w:pPr>
        <w:spacing w:after="0" w:line="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$33.95 per share, the closing price on the date of grant, which vested as to 25% of the underlying shares on March 5, 2026 and vests as to the remaining shares on a monthly basis thereafter; (iv) a one-time grant of 24,300 RSUs, each unit representing a contingent right to receive one share of common stock, which vest in equal annual installments on the first, second and third anniversaries of the date of grant; (v) a one-time grant of 16,200 PSUs, each unit representing a contingent right to receive one share of common stock, which vest as to one-half of the underlying shares upon the achievement of specified clinical milestone and as to one-half of the underlying shares upon achievement of a specified revenue milestone; (vi) a sign-on bonus of $250,000; and (vii) severance benefits as further described below. The stock options, RSUs and PSUs were granted outside our 2023 Stock Incentive Plan, as amended, as an inducement material to Dr. Viswanadhan’s entry into employment with us in accordance with Nasdaq Listing Rule 5635(c)(4).</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Severance Benefits Plan</w:t>
      </w:r>
    </w:p>
    <w:p>
      <w:pPr>
        <w:spacing w:after="0" w:line="268" w:lineRule="exact"/>
        <w:rPr>
          <w:sz w:val="20"/>
          <w:szCs w:val="20"/>
          <w:color w:val="auto"/>
        </w:rPr>
      </w:pPr>
    </w:p>
    <w:p>
      <w:pPr>
        <w:jc w:val="both"/>
        <w:ind w:left="120" w:right="160" w:firstLine="771"/>
        <w:spacing w:after="0" w:line="258" w:lineRule="auto"/>
        <w:rPr>
          <w:sz w:val="20"/>
          <w:szCs w:val="20"/>
          <w:color w:val="auto"/>
        </w:rPr>
      </w:pPr>
      <w:r>
        <w:rPr>
          <w:rFonts w:ascii="Times New Roman" w:cs="Times New Roman" w:eastAsia="Times New Roman" w:hAnsi="Times New Roman"/>
          <w:sz w:val="18"/>
          <w:szCs w:val="18"/>
          <w:color w:val="auto"/>
        </w:rPr>
        <w:t>In 2016, our compensation &amp; people committee adopted the Severance Plan, which was subsequently amended on October 6, 2022, which applies to our NEOs and certain other officers and key employees. The Severance Plan provides for severance benefits in the event of a termination of such NEO’s employment by us without cause or by such employee for good reason either (i) before or more than 18 months after a change in control (“non change of control termination”), or (ii) within 18 months following a change in control (“change of control termination”). Except as specifically provided below, the severance benefits set forth in the Severance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supersede any severance benefits set forth in award agreements and/or employment offer letters with such NEOs.</w:t>
      </w:r>
    </w:p>
    <w:p>
      <w:pPr>
        <w:spacing w:after="0" w:line="223" w:lineRule="exact"/>
        <w:rPr>
          <w:sz w:val="20"/>
          <w:szCs w:val="20"/>
          <w:color w:val="auto"/>
        </w:rPr>
      </w:pPr>
    </w:p>
    <w:p>
      <w:pPr>
        <w:ind w:left="120" w:right="24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Benefits Provided Upon Termination Not in Connection with a Change in Control. </w:t>
      </w:r>
      <w:r>
        <w:rPr>
          <w:rFonts w:ascii="Times New Roman" w:cs="Times New Roman" w:eastAsia="Times New Roman" w:hAnsi="Times New Roman"/>
          <w:sz w:val="18"/>
          <w:szCs w:val="18"/>
          <w:color w:val="auto"/>
        </w:rPr>
        <w:t>Under the terms of the Severance Plan, (and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Goff’s, Ms. Jones’, and Dr. Viswanadhan’s employment agreements with respect to vesting acceleration of New Hire Equity Awards (as defined below)), subject to the execution and effectiveness of a release of claims against us, if a NEO’s employment is terminated by us without cause or by such NEO for good reason prior to or more than 18 months following a change in control:</w:t>
      </w:r>
    </w:p>
    <w:p>
      <w:pPr>
        <w:spacing w:after="0" w:line="263" w:lineRule="exact"/>
        <w:rPr>
          <w:sz w:val="20"/>
          <w:szCs w:val="20"/>
          <w:color w:val="auto"/>
        </w:rPr>
      </w:pPr>
    </w:p>
    <w:p>
      <w:pPr>
        <w:ind w:left="1080" w:right="100" w:hanging="532"/>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(A) to pay an amount equal to the NEO’s then-current monthly base salary for a period of 12 months and 100% of such NEO’s target annual cash incentive in a lump sum, and (B) subject to certain exceptions, to contribute to the cost of COBRA coverage for health and dental insurance on the same basis as our contribution to company-provided health and dental insurance coverage in effect for active employees with the same coverage elections for a period of 12 months; and</w:t>
      </w:r>
    </w:p>
    <w:p>
      <w:pPr>
        <w:spacing w:after="0" w:line="260"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vesting acceleration for any equity award made to our NEOs except that, (1) the initial RSUs and options granted to Mr. Goff and Ms. Jones upon commencement of their employment with the company and (2) any equity award granted after October 6, 2022 in connection with a NEO’s commencement of employment with the company that vests solely based on the continued performance of services, or collectively, New-Hire Equity Awards, will, (A) (i) in the event of a non-change of control termination or (ii) a termination on account of death or disability prior to a change in control, become vested with respect to the portion of the New-Hire Equity Award that would have vested during the one-year period following such termination of service, and (B) in the case of New-Hire Equity Awards that are stock options, be exercisable for a period of 12 months following the termination of service.</w:t>
      </w:r>
    </w:p>
    <w:p>
      <w:pPr>
        <w:spacing w:after="0" w:line="187" w:lineRule="exact"/>
        <w:rPr>
          <w:sz w:val="20"/>
          <w:szCs w:val="20"/>
          <w:color w:val="auto"/>
        </w:rPr>
      </w:pPr>
    </w:p>
    <w:p>
      <w:pPr>
        <w:jc w:val="both"/>
        <w:ind w:left="1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Benefits Provided Upon Termination in Connection with a Change in Control. </w:t>
      </w:r>
      <w:r>
        <w:rPr>
          <w:rFonts w:ascii="Times New Roman" w:cs="Times New Roman" w:eastAsia="Times New Roman" w:hAnsi="Times New Roman"/>
          <w:sz w:val="18"/>
          <w:szCs w:val="18"/>
          <w:color w:val="auto"/>
        </w:rPr>
        <w:t>Under the terms of the Severance Plan, subject to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effectiveness of a release of claims against us, if a NEO’s employment is terminated by us without cause or by such NEO for good reason within 18 months following a change in control:</w:t>
      </w:r>
    </w:p>
    <w:p>
      <w:pPr>
        <w:spacing w:after="0" w:line="256" w:lineRule="exact"/>
        <w:rPr>
          <w:sz w:val="20"/>
          <w:szCs w:val="20"/>
          <w:color w:val="auto"/>
        </w:rPr>
      </w:pPr>
    </w:p>
    <w:p>
      <w:pPr>
        <w:ind w:left="1080" w:right="220" w:hanging="532"/>
        <w:spacing w:after="0" w:line="272" w:lineRule="auto"/>
        <w:tabs>
          <w:tab w:leader="none" w:pos="10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obligated (A) to pay an amount equal to the NEO’s then-current monthly base salary for a period of 12 months and 100% of such NEO’s target annual cash incentive in a lump sum, with the exception of our chief executive officer, who will be entitled to an amount equal to his then-current monthly base salary for a period of 24 months and 200% of his target annual cash incentive in a lump sum, and</w:t>
      </w:r>
    </w:p>
    <w:p>
      <w:pPr>
        <w:spacing w:after="0" w:line="1" w:lineRule="exact"/>
        <w:rPr>
          <w:rFonts w:ascii="Times New Roman" w:cs="Times New Roman" w:eastAsia="Times New Roman" w:hAnsi="Times New Roman"/>
          <w:sz w:val="17"/>
          <w:szCs w:val="17"/>
          <w:color w:val="auto"/>
        </w:rPr>
      </w:pPr>
    </w:p>
    <w:p>
      <w:pPr>
        <w:ind w:left="10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subject to certain exceptions, to contribute to the cost of COBRA coverage for health and dental insurance on the same basis as our contribution to company-provided health and dental insurance coverage in effect for active employees with the same coverage elections for a period of 12 months, with the exception of our chief executive officer, who will be entitled to such insurance for a period of 24 months; and</w:t>
      </w:r>
    </w:p>
    <w:p>
      <w:pPr>
        <w:spacing w:after="0" w:line="269" w:lineRule="exact"/>
        <w:rPr>
          <w:rFonts w:ascii="Times New Roman" w:cs="Times New Roman" w:eastAsia="Times New Roman" w:hAnsi="Times New Roman"/>
          <w:sz w:val="17"/>
          <w:szCs w:val="17"/>
          <w:color w:val="auto"/>
        </w:rPr>
      </w:pPr>
    </w:p>
    <w:p>
      <w:pPr>
        <w:ind w:left="1080" w:right="60" w:hanging="532"/>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equity awards that vest solely based on continued service shall become fully vested and any equity award that vests based on the achievement of performance metric(s) shall be treated in accordance with the terms of the equity award agreement or the plan under which the award was granted.</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268" w:lineRule="exact"/>
        <w:rPr>
          <w:sz w:val="20"/>
          <w:szCs w:val="20"/>
          <w:color w:val="auto"/>
        </w:rPr>
      </w:pPr>
    </w:p>
    <w:p>
      <w:pPr>
        <w:ind w:left="120" w:right="580" w:firstLine="771"/>
        <w:spacing w:after="0" w:line="282" w:lineRule="auto"/>
        <w:rPr>
          <w:sz w:val="20"/>
          <w:szCs w:val="20"/>
          <w:color w:val="auto"/>
        </w:rPr>
      </w:pPr>
      <w:r>
        <w:rPr>
          <w:rFonts w:ascii="Times New Roman" w:cs="Times New Roman" w:eastAsia="Times New Roman" w:hAnsi="Times New Roman"/>
          <w:sz w:val="18"/>
          <w:szCs w:val="18"/>
          <w:color w:val="auto"/>
        </w:rPr>
        <w:t>We have entered into non-competition, non-solicitation, confidentiality and assignment agreements with each of our NEOs. Under the non-competition, non-solicitation, confidentiality and assignment agreements, each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NEO has agreed (i) not to compete with us during such officer’s employment and for a period of one year after the termination of such officer’s employment, (ii) not to solicit our employees or customers during such officer’s employment and for a period of one year after the termination of such officer’s employment, (iii) to protect our confidential and proprietary information, and (iv) to assign to us related intellectual property that is developed during the course of such officer’s employment and for a period of six months after the termination of such officer’s employment, that results from tasks assigned by us or that results from the use of our property, premises, or confidential information.</w:t>
      </w: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268"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The Severance Plan provides for severance benefits in the event of a termination of such NEO’s employment by us without cause or by such employee for good reason, either (i) before or more than 18 months after a change in control, or (ii) within 18 months following a change in control. The Severance Plan also provides for certain severance benefits in the event of a termination of such NEO’s employment due to death or disability prior to a change in control. Receipt of any severance benefits under the Severance Plan requires that the NEO comply with the provisions of any applicable non-competition, non-solicitation, and other obligations to us; and execute and deliver a suitable severance agreement and release under which the NEO releases and discharges us and our affiliates from and on account of any and all claims between us and the NEO.</w:t>
      </w:r>
    </w:p>
    <w:p>
      <w:pPr>
        <w:spacing w:after="0" w:line="187" w:lineRule="exact"/>
        <w:rPr>
          <w:sz w:val="20"/>
          <w:szCs w:val="20"/>
          <w:color w:val="auto"/>
        </w:rPr>
      </w:pPr>
    </w:p>
    <w:p>
      <w:pPr>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The following table sets forth potential payments upon termination and change in control that would be made to our NEOs, assuming that such termination or change in control occurred on December 31, 2025, after giving effect to the Severance Plan and the terms of Mr. Goff’s, Ms. Jones’, and Dr. Viswanadhan’s employment agreements, as applicable. In addition to the amounts shown in the table below, each NEO would be entitled to receive payments for base salary through the date of termination and payment for any reimbursable business expenses incurred.</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Triggering Event</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Resignation For</w:t>
            </w: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Resignation For</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Good Reason or</w:t>
            </w: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Good Reason or</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Before or More</w:t>
            </w: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Upon or</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Death or</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Than 18 Months</w:t>
            </w: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Within 18 Months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Control (Without</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Following a</w:t>
            </w:r>
          </w:p>
        </w:tc>
        <w:tc>
          <w:tcPr>
            <w:tcW w:w="188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Following a</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Prior to a</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Termination of</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Change-in-</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tcPr>
          <w:p>
            <w:pPr>
              <w:spacing w:after="0"/>
              <w:rPr>
                <w:sz w:val="17"/>
                <w:szCs w:val="17"/>
                <w:color w:val="auto"/>
              </w:rPr>
            </w:pPr>
          </w:p>
        </w:tc>
        <w:tc>
          <w:tcPr>
            <w:tcW w:w="202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Employment)</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12"/>
        </w:trPr>
        <w:tc>
          <w:tcPr>
            <w:tcW w:w="14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180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Brian Goff</w:t>
            </w:r>
          </w:p>
        </w:tc>
        <w:tc>
          <w:tcPr>
            <w:tcW w:w="580" w:type="dxa"/>
            <w:vAlign w:val="bottom"/>
          </w:tcPr>
          <w:p>
            <w:pPr>
              <w:spacing w:after="0"/>
              <w:rPr>
                <w:sz w:val="16"/>
                <w:szCs w:val="16"/>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Severance Payments</w:t>
            </w: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2"/>
              </w:rPr>
              <w:t>—   </w:t>
            </w:r>
          </w:p>
        </w:tc>
        <w:tc>
          <w:tcPr>
            <w:tcW w:w="64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846,864(1)</w:t>
            </w:r>
          </w:p>
        </w:tc>
        <w:tc>
          <w:tcPr>
            <w:tcW w:w="44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1,693,728(2)</w:t>
            </w:r>
          </w:p>
        </w:tc>
        <w:tc>
          <w:tcPr>
            <w:tcW w:w="600" w:type="dxa"/>
            <w:vAlign w:val="bottom"/>
          </w:tcPr>
          <w:p>
            <w:pPr>
              <w:spacing w:after="0"/>
              <w:rPr>
                <w:sz w:val="16"/>
                <w:szCs w:val="16"/>
                <w:color w:val="auto"/>
              </w:rPr>
            </w:pPr>
          </w:p>
        </w:tc>
        <w:tc>
          <w:tcPr>
            <w:tcW w:w="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7"/>
              </w:rPr>
              <w:t>—   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Bonus Payment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592,804(3)</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1,185,608(4)</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Continuation of Benefits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25,446(5)</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50,892(6)</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Market Value of Stock</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Vesting(10)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2,338,142(8)</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1,465,114</w:t>
            </w:r>
          </w:p>
        </w:tc>
        <w:tc>
          <w:tcPr>
            <w:tcW w:w="4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5,268,370</w:t>
            </w:r>
          </w:p>
        </w:tc>
        <w:tc>
          <w:tcPr>
            <w:tcW w:w="600" w:type="dxa"/>
            <w:vAlign w:val="bottom"/>
          </w:tcPr>
          <w:p>
            <w:pPr>
              <w:spacing w:after="0"/>
              <w:rPr>
                <w:sz w:val="18"/>
                <w:szCs w:val="18"/>
                <w:color w:val="auto"/>
              </w:rPr>
            </w:pPr>
          </w:p>
        </w:tc>
        <w:tc>
          <w:tcPr>
            <w:tcW w:w="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7"/>
              </w:rPr>
              <w:t>—   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Cecilia Jones</w:t>
            </w:r>
          </w:p>
        </w:tc>
        <w:tc>
          <w:tcPr>
            <w:tcW w:w="2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Severance Payments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535,085(1)</w:t>
            </w:r>
          </w:p>
        </w:tc>
        <w:tc>
          <w:tcPr>
            <w:tcW w:w="18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535,085(1)</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Bonus Payment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240,789(3)</w:t>
            </w:r>
          </w:p>
        </w:tc>
        <w:tc>
          <w:tcPr>
            <w:tcW w:w="18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240,789(3)</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Continuation of Benefits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24,768(5)</w:t>
            </w:r>
          </w:p>
        </w:tc>
        <w:tc>
          <w:tcPr>
            <w:tcW w:w="18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24,768(5)</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Value of Stock</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Vesting(10)</w:t>
            </w: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7"/>
              </w:rPr>
              <w:t>—   </w:t>
            </w:r>
          </w:p>
        </w:tc>
        <w:tc>
          <w:tcPr>
            <w:tcW w:w="4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1,137,844(8)</w:t>
            </w:r>
          </w:p>
        </w:tc>
        <w:tc>
          <w:tcPr>
            <w:tcW w:w="6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7"/>
              </w:rPr>
              <w:t>—   </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800,642</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1,938,486</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James Burns</w:t>
            </w:r>
          </w:p>
        </w:tc>
        <w:tc>
          <w:tcPr>
            <w:tcW w:w="58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Severance Payments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527,275(1)</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527,275(1)</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Bonus Payment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237,274(3)</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237,274(3)</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Continuation of Benefits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34,508(5)</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34,508(5)</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Market Value of Stock</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Vesting(10)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1,094,483(8)</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6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799,057</w:t>
            </w:r>
          </w:p>
        </w:tc>
        <w:tc>
          <w:tcPr>
            <w:tcW w:w="4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1,893,540</w:t>
            </w:r>
          </w:p>
        </w:tc>
        <w:tc>
          <w:tcPr>
            <w:tcW w:w="600" w:type="dxa"/>
            <w:vAlign w:val="bottom"/>
          </w:tcPr>
          <w:p>
            <w:pPr>
              <w:spacing w:after="0"/>
              <w:rPr>
                <w:sz w:val="18"/>
                <w:szCs w:val="18"/>
                <w:color w:val="auto"/>
              </w:rPr>
            </w:pPr>
          </w:p>
        </w:tc>
        <w:tc>
          <w:tcPr>
            <w:tcW w:w="8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7"/>
              </w:rPr>
              <w:t>—   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Triggering Event</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Resignation For</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Resignation For</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Good Reason or</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Good Reason or</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Without Cause</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Without Cause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Before or More</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Upon or</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Death or</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Than 18 Months</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Within 18 Months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Control (Without</w:t>
            </w: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Following a</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Following a</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Prior to a</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Termination of</w:t>
            </w: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Change-in-</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1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spacing w:after="0"/>
              <w:rPr>
                <w:sz w:val="17"/>
                <w:szCs w:val="17"/>
                <w:color w:val="auto"/>
              </w:rPr>
            </w:pPr>
          </w:p>
        </w:tc>
        <w:tc>
          <w:tcPr>
            <w:tcW w:w="210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Employment)</w:t>
            </w: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15"/>
        </w:trPr>
        <w:tc>
          <w:tcPr>
            <w:tcW w:w="16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760" w:type="dxa"/>
            <w:vAlign w:val="bottom"/>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Sarah Gheuens,</w:t>
            </w:r>
          </w:p>
        </w:tc>
        <w:tc>
          <w:tcPr>
            <w:tcW w:w="52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M.D., Ph.D.</w:t>
            </w:r>
          </w:p>
        </w:tc>
        <w:tc>
          <w:tcPr>
            <w:tcW w:w="2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Severance Payments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601,060(1)</w:t>
            </w: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601,060(1)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Bonus Payment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270,478(3)</w:t>
            </w: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270,478(3)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Continuation of Benefits</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Value of Stock</w:t>
            </w: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7"/>
              </w:rPr>
              <w:t>—   </w:t>
            </w:r>
          </w:p>
        </w:tc>
        <w:tc>
          <w:tcPr>
            <w:tcW w:w="4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1,002,370(8)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9"/>
        </w:trPr>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871,538</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1,873,908</w:t>
            </w: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Krishnan Viswanadhan,</w:t>
            </w: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Pharm.D</w:t>
            </w: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Severance Payments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525,000(1)</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525,000(1)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Bonus Payment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236,250(3)</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236,250(3)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Continuation of Benefits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25,890(5)</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25,890(5)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Market Value of Stock</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Vesting(10)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220,482(7)</w:t>
            </w: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661,446(8)</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220,482(9)</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6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1,007,622</w:t>
            </w:r>
          </w:p>
        </w:tc>
        <w:tc>
          <w:tcPr>
            <w:tcW w:w="4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1,448,586</w:t>
            </w:r>
          </w:p>
        </w:tc>
        <w:tc>
          <w:tcPr>
            <w:tcW w:w="5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220,482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monthly payments of each executive’s monthly base salary from the time of termination.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 monthly payments of executive’s monthly base salary from the time of termination.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equal to each executive’s target annual cash incentive bonus.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equal to two years of executive’s target annual cash incentive bonus.</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of continued health and dental benefits. These benefits are payable until 12 months following termination.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of continued health and dental benefits. These benefits are payable until 24 months following termination.</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his employment agreement and the Severance Plan, in the event of a termination of employment by us without cause or by</w:t>
      </w:r>
    </w:p>
    <w:p>
      <w:pPr>
        <w:spacing w:after="0" w:line="27" w:lineRule="exact"/>
        <w:rPr>
          <w:rFonts w:ascii="Times New Roman" w:cs="Times New Roman" w:eastAsia="Times New Roman" w:hAnsi="Times New Roman"/>
          <w:sz w:val="18"/>
          <w:szCs w:val="18"/>
          <w:color w:val="auto"/>
        </w:rPr>
      </w:pPr>
    </w:p>
    <w:p>
      <w:pPr>
        <w:ind w:left="540" w:righ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Viswanadhan for good reason before or more than 18 months after a change in control, Dr. Viswanadhan would be entitled 12 months of acceleration with respect to the vesting of the stock options and RSUs granted to him in connection with the start of his employment.</w:t>
      </w:r>
    </w:p>
    <w:p>
      <w:pPr>
        <w:spacing w:after="0" w:line="26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100% of the unvested stock options and RSUs held by the NEO.</w:t>
      </w:r>
    </w:p>
    <w:p>
      <w:pPr>
        <w:spacing w:after="0" w:line="306"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his employment agreement and the Severance Plan, in the event of a termination of employment due to death or disability prior to a change in control, Dr. Viswanadhan would be entitled 12 months of acceleration with respect to the vesting of the stock options and RSUs granted to him in connection with the start of his employment.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20" w:hanging="424"/>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would become vested and the value of the acceleration would be equal to (i), in the case of options, the shares subject to unvested options multiplied by the excess (if any) of the then current stock price over the exercise price of the options and (ii), in the case of RSUs, the number of unvested RSUs multiplied by the then current stock price. For purposes of this table, we have calculated the value of the acceleration using the closing price of our common stock on December 31, 2025, or $27.22 per share.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70"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 The purpose of this disclosure is to provide a measure of the equitability of pay within our company. We believe our compensation philosophy and process yield an equitable result for all of our employees.</w:t>
      </w:r>
    </w:p>
    <w:p>
      <w:pPr>
        <w:spacing w:after="0" w:line="18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identified the median employee for 2025 as of October 1, 2025, by (i) aggregating for each applicable employee (A) annual base salary for salaried employees (or hourly rate multiplied by expected annual work schedule, for hourly employees), (B) target bonus for 2025, and (C) the estimated fair value of any equity awards granted during the fiscal year ended December 31, 2025 and, (ii) ranking this aggregated compensation measure for our employees from lowest to highest. This calculation was performed for all employees, excluding Mr. Goff, our chief executive officer.</w:t>
      </w:r>
    </w:p>
    <w:p>
      <w:pPr>
        <w:spacing w:after="0" w:line="180"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Mr. Goff’s 2025 compensation, for purposes of this pay ratio disclosure, was $5,370,389. The annual total compensation for our median employee for 2025 was $303,140 resulting in a pay ratio of approximately 18 to 1.</w:t>
      </w:r>
    </w:p>
    <w:p>
      <w:pPr>
        <w:spacing w:after="0" w:line="16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regulations based on our internal records and the methodology described above. The SEC regulation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left="120" w:right="220" w:firstLine="991"/>
        <w:spacing w:after="0" w:line="256"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for our principal executive officers, or PEOs, and Non-PEO NEOs and company performance for the fiscal years listed below. The compensation &amp; people committee did not consider the pay versus performance disclosure below in making its compensation decisions for any of the years shown. For discussion of how our compensation &amp; people committee seeks to align pay with performance when making compensation decisions, please review Compensation Discussion and Analysis beginning on page 40 of this Proxy Statement.</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Initial Fixed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$100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4"/>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80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based on:(4)</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8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0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6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Product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PEO 1</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PEO</w:t>
            </w: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Revenue(5)</w:t>
            </w:r>
          </w:p>
        </w:tc>
        <w:tc>
          <w:tcPr>
            <w:tcW w:w="0" w:type="dxa"/>
            <w:vAlign w:val="bottom"/>
          </w:tcPr>
          <w:p>
            <w:pPr>
              <w:spacing w:after="0"/>
              <w:rPr>
                <w:sz w:val="1"/>
                <w:szCs w:val="1"/>
                <w:color w:val="auto"/>
              </w:rPr>
            </w:pPr>
          </w:p>
        </w:tc>
      </w:tr>
      <w:tr>
        <w:trPr>
          <w:trHeight w:val="135"/>
        </w:trPr>
        <w:tc>
          <w:tcPr>
            <w:tcW w:w="2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1500" w:type="dxa"/>
            <w:vAlign w:val="bottom"/>
            <w:vMerge w:val="restart"/>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1(1)</w:t>
            </w: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2(1)</w:t>
            </w:r>
          </w:p>
        </w:tc>
        <w:tc>
          <w:tcPr>
            <w:tcW w:w="80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(1)(2)(3)</w:t>
            </w:r>
          </w:p>
        </w:tc>
        <w:tc>
          <w:tcPr>
            <w:tcW w:w="200" w:type="dxa"/>
            <w:vAlign w:val="bottom"/>
          </w:tcPr>
          <w:p>
            <w:pPr>
              <w:spacing w:after="0"/>
              <w:rPr>
                <w:sz w:val="11"/>
                <w:szCs w:val="11"/>
                <w:color w:val="auto"/>
              </w:rPr>
            </w:pPr>
          </w:p>
        </w:tc>
        <w:tc>
          <w:tcPr>
            <w:tcW w:w="80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2(1)(2)(3)</w:t>
            </w:r>
          </w:p>
        </w:tc>
        <w:tc>
          <w:tcPr>
            <w:tcW w:w="2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NEOs(1)</w:t>
            </w: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NEOs(1)(2)(3)</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0" w:type="dxa"/>
            <w:vAlign w:val="bottom"/>
            <w:tcBorders>
              <w:bottom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80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7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7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4"/>
                <w:szCs w:val="14"/>
                <w:color w:val="auto"/>
              </w:rPr>
            </w:pPr>
          </w:p>
        </w:tc>
        <w:tc>
          <w:tcPr>
            <w:tcW w:w="7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Millions)</w:t>
            </w:r>
          </w:p>
        </w:tc>
        <w:tc>
          <w:tcPr>
            <w:tcW w:w="6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Millions)</w:t>
            </w:r>
          </w:p>
        </w:tc>
        <w:tc>
          <w:tcPr>
            <w:tcW w:w="0" w:type="dxa"/>
            <w:vAlign w:val="bottom"/>
          </w:tcPr>
          <w:p>
            <w:pPr>
              <w:spacing w:after="0"/>
              <w:rPr>
                <w:sz w:val="1"/>
                <w:szCs w:val="1"/>
                <w:color w:val="auto"/>
              </w:rPr>
            </w:pPr>
          </w:p>
        </w:tc>
      </w:tr>
      <w:tr>
        <w:trPr>
          <w:trHeight w:val="149"/>
        </w:trPr>
        <w:tc>
          <w:tcPr>
            <w:tcW w:w="17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2025</w:t>
            </w:r>
          </w:p>
        </w:tc>
        <w:tc>
          <w:tcPr>
            <w:tcW w:w="780" w:type="dxa"/>
            <w:vAlign w:val="bottom"/>
            <w:tcBorders>
              <w:top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5"/>
                <w:szCs w:val="15"/>
                <w:color w:val="auto"/>
                <w:w w:val="97"/>
              </w:rPr>
              <w:t>— </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5,370,389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560"/>
              <w:spacing w:after="0" w:line="149" w:lineRule="exact"/>
              <w:rPr>
                <w:sz w:val="20"/>
                <w:szCs w:val="20"/>
                <w:color w:val="auto"/>
              </w:rPr>
            </w:pPr>
            <w:r>
              <w:rPr>
                <w:rFonts w:ascii="Times New Roman" w:cs="Times New Roman" w:eastAsia="Times New Roman" w:hAnsi="Times New Roman"/>
                <w:sz w:val="15"/>
                <w:szCs w:val="15"/>
                <w:color w:val="auto"/>
                <w:w w:val="97"/>
              </w:rPr>
              <w:t>— </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5,976,610</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5"/>
                <w:szCs w:val="15"/>
                <w:color w:val="auto"/>
                <w:w w:val="96"/>
              </w:rPr>
              <w:t>2,444,836</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2,239,171</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5"/>
                <w:szCs w:val="15"/>
                <w:color w:val="auto"/>
                <w:w w:val="94"/>
              </w:rPr>
              <w:t>62.82</w:t>
            </w: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119.92</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(413)</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54.03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980" w:type="dxa"/>
            <w:vAlign w:val="bottom"/>
            <w:gridSpan w:val="2"/>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6,776,359</w:t>
            </w:r>
          </w:p>
        </w:tc>
        <w:tc>
          <w:tcPr>
            <w:tcW w:w="1000" w:type="dxa"/>
            <w:vAlign w:val="bottom"/>
            <w:gridSpan w:val="2"/>
          </w:tcPr>
          <w:p>
            <w:pPr>
              <w:ind w:left="5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12,973,276</w:t>
            </w:r>
          </w:p>
        </w:tc>
        <w:tc>
          <w:tcPr>
            <w:tcW w:w="10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2,462,405</w:t>
            </w: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3,526,736</w:t>
            </w:r>
          </w:p>
        </w:tc>
        <w:tc>
          <w:tcPr>
            <w:tcW w:w="90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5"/>
                <w:szCs w:val="15"/>
                <w:color w:val="auto"/>
              </w:rPr>
              <w:t>75.84</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90.58</w:t>
            </w:r>
          </w:p>
        </w:tc>
        <w:tc>
          <w:tcPr>
            <w:tcW w:w="7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674</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36.50</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2023</w:t>
            </w:r>
          </w:p>
        </w:tc>
        <w:tc>
          <w:tcPr>
            <w:tcW w:w="980" w:type="dxa"/>
            <w:vAlign w:val="bottom"/>
            <w:gridSpan w:val="2"/>
            <w:shd w:val="clear" w:color="auto" w:fill="CCEEFF"/>
          </w:tcPr>
          <w:p>
            <w:pPr>
              <w:ind w:left="5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3,416,453</w:t>
            </w:r>
          </w:p>
        </w:tc>
        <w:tc>
          <w:tcPr>
            <w:tcW w:w="1000" w:type="dxa"/>
            <w:vAlign w:val="bottom"/>
            <w:gridSpan w:val="2"/>
            <w:shd w:val="clear" w:color="auto" w:fill="CCEEFF"/>
          </w:tcPr>
          <w:p>
            <w:pPr>
              <w:ind w:left="5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2,214,078</w:t>
            </w:r>
          </w:p>
        </w:tc>
        <w:tc>
          <w:tcPr>
            <w:tcW w:w="10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2,436,689</w:t>
            </w:r>
          </w:p>
        </w:tc>
        <w:tc>
          <w:tcPr>
            <w:tcW w:w="10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2,165,913</w:t>
            </w:r>
          </w:p>
        </w:tc>
        <w:tc>
          <w:tcPr>
            <w:tcW w:w="90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51.40</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91.84</w:t>
            </w:r>
          </w:p>
        </w:tc>
        <w:tc>
          <w:tcPr>
            <w:tcW w:w="78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26.82</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2022</w:t>
            </w:r>
          </w:p>
        </w:tc>
        <w:tc>
          <w:tcPr>
            <w:tcW w:w="9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4,911,049</w:t>
            </w:r>
          </w:p>
        </w:tc>
        <w:tc>
          <w:tcPr>
            <w:tcW w:w="10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11,744,447</w:t>
            </w:r>
          </w:p>
        </w:tc>
        <w:tc>
          <w:tcPr>
            <w:tcW w:w="100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3,809,001</w:t>
            </w:r>
          </w:p>
        </w:tc>
        <w:tc>
          <w:tcPr>
            <w:tcW w:w="10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11,143,330</w:t>
            </w:r>
          </w:p>
        </w:tc>
        <w:tc>
          <w:tcPr>
            <w:tcW w:w="10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5"/>
                <w:szCs w:val="15"/>
                <w:color w:val="auto"/>
              </w:rPr>
              <w:t>1,958,794</w:t>
            </w: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1,440,120</w:t>
            </w:r>
          </w:p>
        </w:tc>
        <w:tc>
          <w:tcPr>
            <w:tcW w:w="90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5"/>
                <w:szCs w:val="15"/>
                <w:color w:val="auto"/>
              </w:rPr>
              <w:t>64.80</w:t>
            </w:r>
          </w:p>
        </w:tc>
        <w:tc>
          <w:tcPr>
            <w:tcW w:w="9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88.53</w:t>
            </w:r>
          </w:p>
        </w:tc>
        <w:tc>
          <w:tcPr>
            <w:tcW w:w="78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6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0" w:type="dxa"/>
            <w:vAlign w:val="bottom"/>
          </w:tcPr>
          <w:p>
            <w:pPr>
              <w:spacing w:after="0"/>
              <w:rPr>
                <w:sz w:val="1"/>
                <w:szCs w:val="1"/>
                <w:color w:val="auto"/>
              </w:rPr>
            </w:pPr>
          </w:p>
        </w:tc>
      </w:tr>
      <w:tr>
        <w:trPr>
          <w:trHeight w:val="162"/>
        </w:trPr>
        <w:tc>
          <w:tcPr>
            <w:tcW w:w="17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2021</w:t>
            </w:r>
          </w:p>
        </w:tc>
        <w:tc>
          <w:tcPr>
            <w:tcW w:w="98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6,519,427</w:t>
            </w:r>
          </w:p>
        </w:tc>
        <w:tc>
          <w:tcPr>
            <w:tcW w:w="1000" w:type="dxa"/>
            <w:vAlign w:val="bottom"/>
            <w:gridSpan w:val="2"/>
            <w:shd w:val="clear" w:color="auto" w:fill="CCEEFF"/>
          </w:tcPr>
          <w:p>
            <w:pPr>
              <w:ind w:left="5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1,457,816</w:t>
            </w:r>
          </w:p>
        </w:tc>
        <w:tc>
          <w:tcPr>
            <w:tcW w:w="1000" w:type="dxa"/>
            <w:vAlign w:val="bottom"/>
            <w:gridSpan w:val="2"/>
            <w:shd w:val="clear" w:color="auto" w:fill="CCEEFF"/>
          </w:tcPr>
          <w:p>
            <w:pPr>
              <w:ind w:left="5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auto"/>
              </w:rPr>
              <w:t>2,188,153</w:t>
            </w:r>
          </w:p>
        </w:tc>
        <w:tc>
          <w:tcPr>
            <w:tcW w:w="10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857,046</w:t>
            </w:r>
          </w:p>
        </w:tc>
        <w:tc>
          <w:tcPr>
            <w:tcW w:w="90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75.86</w:t>
            </w:r>
          </w:p>
        </w:tc>
        <w:tc>
          <w:tcPr>
            <w:tcW w:w="90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99.37</w:t>
            </w:r>
          </w:p>
        </w:tc>
        <w:tc>
          <w:tcPr>
            <w:tcW w:w="7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1,605</w:t>
            </w:r>
          </w:p>
        </w:tc>
        <w:tc>
          <w:tcPr>
            <w:tcW w:w="66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Jacqualyn A. Fouse, Ph.D. (PEO 1) was our PEO for 2021 and until August 8, 2022. Brian Goff (PEO 2) has been our PEO since August 8, 2022. The individuals comprising the Non-PEO NEOs for each year presented are listed below.</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060" w:type="dxa"/>
            <w:vAlign w:val="bottom"/>
            <w:gridSpan w:val="2"/>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Biller</w:t>
            </w:r>
          </w:p>
        </w:tc>
        <w:tc>
          <w:tcPr>
            <w:tcW w:w="1340" w:type="dxa"/>
            <w:vAlign w:val="bottom"/>
            <w:gridSpan w:val="2"/>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5"/>
                <w:szCs w:val="15"/>
                <w:color w:val="auto"/>
              </w:rPr>
            </w:pP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600" w:type="dxa"/>
            <w:vAlign w:val="bottom"/>
            <w:gridSpan w:val="2"/>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60" w:type="dxa"/>
            <w:vAlign w:val="bottom"/>
            <w:gridSpan w:val="2"/>
          </w:tcPr>
          <w:p>
            <w:pPr>
              <w:ind w:left="420"/>
              <w:spacing w:after="0" w:line="182" w:lineRule="exact"/>
              <w:rPr>
                <w:sz w:val="20"/>
                <w:szCs w:val="20"/>
                <w:color w:val="auto"/>
              </w:rPr>
            </w:pPr>
            <w:r>
              <w:rPr>
                <w:rFonts w:ascii="Times New Roman" w:cs="Times New Roman" w:eastAsia="Times New Roman" w:hAnsi="Times New Roman"/>
                <w:sz w:val="16"/>
                <w:szCs w:val="16"/>
                <w:color w:val="auto"/>
              </w:rPr>
              <w:t>Jonathan</w:t>
            </w:r>
          </w:p>
        </w:tc>
        <w:tc>
          <w:tcPr>
            <w:tcW w:w="1040" w:type="dxa"/>
            <w:vAlign w:val="bottom"/>
            <w:vMerge w:val="continue"/>
          </w:tcPr>
          <w:p>
            <w:pPr>
              <w:spacing w:after="0"/>
              <w:rPr>
                <w:sz w:val="15"/>
                <w:szCs w:val="15"/>
                <w:color w:val="auto"/>
              </w:rPr>
            </w:pPr>
          </w:p>
        </w:tc>
        <w:tc>
          <w:tcPr>
            <w:tcW w:w="2460" w:type="dxa"/>
            <w:vAlign w:val="bottom"/>
            <w:gridSpan w:val="3"/>
          </w:tcPr>
          <w:p>
            <w:pPr>
              <w:jc w:val="center"/>
              <w:ind w:right="80"/>
              <w:spacing w:after="0" w:line="182" w:lineRule="exact"/>
              <w:rPr>
                <w:sz w:val="20"/>
                <w:szCs w:val="20"/>
                <w:color w:val="auto"/>
              </w:rPr>
            </w:pPr>
            <w:r>
              <w:rPr>
                <w:rFonts w:ascii="Times New Roman" w:cs="Times New Roman" w:eastAsia="Times New Roman" w:hAnsi="Times New Roman"/>
                <w:sz w:val="16"/>
                <w:szCs w:val="16"/>
                <w:color w:val="auto"/>
              </w:rPr>
              <w:t>Jonathan Biller</w:t>
            </w:r>
          </w:p>
        </w:tc>
        <w:tc>
          <w:tcPr>
            <w:tcW w:w="254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6"/>
                <w:szCs w:val="16"/>
                <w:color w:val="auto"/>
              </w:rPr>
              <w:t>Sarah Gheuens, M.D., Ph.D.</w:t>
            </w:r>
          </w:p>
        </w:tc>
        <w:tc>
          <w:tcPr>
            <w:tcW w:w="2540" w:type="dxa"/>
            <w:vAlign w:val="bottom"/>
            <w:gridSpan w:val="3"/>
          </w:tcPr>
          <w:p>
            <w:pPr>
              <w:jc w:val="center"/>
              <w:ind w:left="281"/>
              <w:spacing w:after="0" w:line="182" w:lineRule="exact"/>
              <w:rPr>
                <w:sz w:val="20"/>
                <w:szCs w:val="20"/>
                <w:color w:val="auto"/>
              </w:rPr>
            </w:pPr>
            <w:r>
              <w:rPr>
                <w:rFonts w:ascii="Times New Roman" w:cs="Times New Roman" w:eastAsia="Times New Roman" w:hAnsi="Times New Roman"/>
                <w:sz w:val="16"/>
                <w:szCs w:val="16"/>
                <w:color w:val="auto"/>
              </w:rPr>
              <w:t>Cecilia Jones</w:t>
            </w:r>
          </w:p>
        </w:tc>
        <w:tc>
          <w:tcPr>
            <w:tcW w:w="0" w:type="dxa"/>
            <w:vAlign w:val="bottom"/>
          </w:tcPr>
          <w:p>
            <w:pPr>
              <w:spacing w:after="0"/>
              <w:rPr>
                <w:sz w:val="1"/>
                <w:szCs w:val="1"/>
                <w:color w:val="auto"/>
              </w:rPr>
            </w:pPr>
          </w:p>
        </w:tc>
      </w:tr>
      <w:tr>
        <w:trPr>
          <w:trHeight w:val="203"/>
        </w:trPr>
        <w:tc>
          <w:tcPr>
            <w:tcW w:w="21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Christopher Bowden</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Bruce Car, Ph.D.</w:t>
            </w: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Cecilia Jones</w:t>
            </w:r>
          </w:p>
        </w:tc>
        <w:tc>
          <w:tcPr>
            <w:tcW w:w="2540" w:type="dxa"/>
            <w:vAlign w:val="bottom"/>
            <w:gridSpan w:val="3"/>
          </w:tcPr>
          <w:p>
            <w:pPr>
              <w:jc w:val="center"/>
              <w:ind w:left="281"/>
              <w:spacing w:after="0"/>
              <w:rPr>
                <w:sz w:val="20"/>
                <w:szCs w:val="20"/>
                <w:color w:val="auto"/>
              </w:rPr>
            </w:pPr>
            <w:r>
              <w:rPr>
                <w:rFonts w:ascii="Times New Roman" w:cs="Times New Roman" w:eastAsia="Times New Roman" w:hAnsi="Times New Roman"/>
                <w:sz w:val="16"/>
                <w:szCs w:val="16"/>
                <w:color w:val="auto"/>
              </w:rPr>
              <w:t>James Burns</w:t>
            </w:r>
          </w:p>
        </w:tc>
        <w:tc>
          <w:tcPr>
            <w:tcW w:w="0" w:type="dxa"/>
            <w:vAlign w:val="bottom"/>
          </w:tcPr>
          <w:p>
            <w:pPr>
              <w:spacing w:after="0"/>
              <w:rPr>
                <w:sz w:val="1"/>
                <w:szCs w:val="1"/>
                <w:color w:val="auto"/>
              </w:rPr>
            </w:pPr>
          </w:p>
        </w:tc>
      </w:tr>
      <w:tr>
        <w:trPr>
          <w:trHeight w:val="203"/>
        </w:trPr>
        <w:tc>
          <w:tcPr>
            <w:tcW w:w="21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Bruce Car, Ph.D.</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Sarah Gheuens, M.D., Ph.D.</w:t>
            </w: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James Burns</w:t>
            </w:r>
          </w:p>
        </w:tc>
        <w:tc>
          <w:tcPr>
            <w:tcW w:w="2540" w:type="dxa"/>
            <w:vAlign w:val="bottom"/>
            <w:gridSpan w:val="3"/>
          </w:tcPr>
          <w:p>
            <w:pPr>
              <w:jc w:val="center"/>
              <w:ind w:left="301"/>
              <w:spacing w:after="0"/>
              <w:rPr>
                <w:sz w:val="20"/>
                <w:szCs w:val="20"/>
                <w:color w:val="auto"/>
              </w:rPr>
            </w:pPr>
            <w:r>
              <w:rPr>
                <w:rFonts w:ascii="Times New Roman" w:cs="Times New Roman" w:eastAsia="Times New Roman" w:hAnsi="Times New Roman"/>
                <w:sz w:val="16"/>
                <w:szCs w:val="16"/>
                <w:color w:val="auto"/>
              </w:rPr>
              <w:t>Sarah Gheuens, M.D., Ph.D.</w:t>
            </w:r>
          </w:p>
        </w:tc>
        <w:tc>
          <w:tcPr>
            <w:tcW w:w="0" w:type="dxa"/>
            <w:vAlign w:val="bottom"/>
          </w:tcPr>
          <w:p>
            <w:pPr>
              <w:spacing w:after="0"/>
              <w:rPr>
                <w:sz w:val="1"/>
                <w:szCs w:val="1"/>
                <w:color w:val="auto"/>
              </w:rPr>
            </w:pPr>
          </w:p>
        </w:tc>
      </w:tr>
      <w:tr>
        <w:trPr>
          <w:trHeight w:val="203"/>
        </w:trPr>
        <w:tc>
          <w:tcPr>
            <w:tcW w:w="21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Sarah Gheuens, M.D., Ph.D.</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Richa Poddar</w:t>
            </w:r>
          </w:p>
        </w:tc>
        <w:tc>
          <w:tcPr>
            <w:tcW w:w="25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Tsveta Milanova</w:t>
            </w:r>
          </w:p>
        </w:tc>
        <w:tc>
          <w:tcPr>
            <w:tcW w:w="2540" w:type="dxa"/>
            <w:vAlign w:val="bottom"/>
            <w:gridSpan w:val="3"/>
          </w:tcPr>
          <w:p>
            <w:pPr>
              <w:jc w:val="center"/>
              <w:ind w:left="301"/>
              <w:spacing w:after="0"/>
              <w:rPr>
                <w:sz w:val="20"/>
                <w:szCs w:val="20"/>
                <w:color w:val="auto"/>
              </w:rPr>
            </w:pPr>
            <w:r>
              <w:rPr>
                <w:rFonts w:ascii="Times New Roman" w:cs="Times New Roman" w:eastAsia="Times New Roman" w:hAnsi="Times New Roman"/>
                <w:sz w:val="16"/>
                <w:szCs w:val="16"/>
                <w:color w:val="auto"/>
              </w:rPr>
              <w:t>Krishnan Viswanadhan, Pharm.D</w:t>
            </w:r>
          </w:p>
        </w:tc>
        <w:tc>
          <w:tcPr>
            <w:tcW w:w="0" w:type="dxa"/>
            <w:vAlign w:val="bottom"/>
          </w:tcPr>
          <w:p>
            <w:pPr>
              <w:spacing w:after="0"/>
              <w:rPr>
                <w:sz w:val="1"/>
                <w:szCs w:val="1"/>
                <w:color w:val="auto"/>
              </w:rPr>
            </w:pPr>
          </w:p>
        </w:tc>
      </w:tr>
      <w:tr>
        <w:trPr>
          <w:trHeight w:val="203"/>
        </w:trPr>
        <w:tc>
          <w:tcPr>
            <w:tcW w:w="21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Richa Poddar</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Cecilia Jones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00" w:type="dxa"/>
            <w:vAlign w:val="bottom"/>
            <w:gridSpan w:val="3"/>
          </w:tcPr>
          <w:p>
            <w:pPr>
              <w:jc w:val="center"/>
              <w:ind w:right="179"/>
              <w:spacing w:after="0"/>
              <w:rPr>
                <w:sz w:val="20"/>
                <w:szCs w:val="20"/>
                <w:color w:val="auto"/>
              </w:rPr>
            </w:pPr>
            <w:r>
              <w:rPr>
                <w:rFonts w:ascii="Times New Roman" w:cs="Times New Roman" w:eastAsia="Times New Roman" w:hAnsi="Times New Roman"/>
                <w:sz w:val="16"/>
                <w:szCs w:val="16"/>
                <w:color w:val="auto"/>
              </w:rPr>
              <w:t>Darrin Miles</w:t>
            </w:r>
          </w:p>
        </w:tc>
        <w:tc>
          <w:tcPr>
            <w:tcW w:w="24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James Burns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40" w:right="260" w:hanging="424"/>
        <w:spacing w:after="0" w:line="266"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the actual amount of compensation actually earned, realized, or received by the company’s NEOs during the applicable years. These amounts reflect the Summary Compensation Table Total with certain adjustments as described in footnote 3 below.</w:t>
      </w:r>
    </w:p>
    <w:p>
      <w:pPr>
        <w:spacing w:after="0" w:line="202" w:lineRule="exact"/>
        <w:rPr>
          <w:rFonts w:ascii="Times New Roman" w:cs="Times New Roman" w:eastAsia="Times New Roman" w:hAnsi="Times New Roman"/>
          <w:sz w:val="18"/>
          <w:szCs w:val="18"/>
          <w:color w:val="auto"/>
        </w:rPr>
      </w:pPr>
    </w:p>
    <w:p>
      <w:pPr>
        <w:ind w:left="540" w:right="40" w:hanging="424"/>
        <w:spacing w:after="0" w:line="289" w:lineRule="auto"/>
        <w:tabs>
          <w:tab w:leader="none" w:pos="5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for PEO 2 and the non-PEO NEOs are the totals from the Stock Awards and Option Awards columns set forth in the Summary Compensation Table.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Exclusion of Stock</w:t>
            </w:r>
          </w:p>
        </w:tc>
        <w:tc>
          <w:tcPr>
            <w:tcW w:w="16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Awards and</w:t>
            </w:r>
          </w:p>
        </w:tc>
        <w:tc>
          <w:tcPr>
            <w:tcW w:w="16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6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w:t>
            </w:r>
          </w:p>
        </w:tc>
        <w:tc>
          <w:tcPr>
            <w:tcW w:w="16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940" w:type="dxa"/>
            <w:vAlign w:val="bottom"/>
            <w:vMerge w:val="restart"/>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for PEO 2</w:t>
            </w:r>
          </w:p>
        </w:tc>
        <w:tc>
          <w:tcPr>
            <w:tcW w:w="16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6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5"/>
                <w:szCs w:val="15"/>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5,370,389</w:t>
            </w: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(3,918,932)</w:t>
            </w:r>
          </w:p>
        </w:tc>
        <w:tc>
          <w:tcPr>
            <w:tcW w:w="5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4,525,153</w:t>
            </w: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5,976,610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 Exclusion</w:t>
            </w:r>
          </w:p>
        </w:tc>
        <w:tc>
          <w:tcPr>
            <w:tcW w:w="20" w:type="dxa"/>
            <w:vAlign w:val="bottom"/>
          </w:tcPr>
          <w:p>
            <w:pPr>
              <w:spacing w:after="0"/>
              <w:rPr>
                <w:sz w:val="13"/>
                <w:szCs w:val="13"/>
                <w:color w:val="auto"/>
              </w:rPr>
            </w:pPr>
          </w:p>
        </w:tc>
        <w:tc>
          <w:tcPr>
            <w:tcW w:w="156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 Inclusion</w:t>
            </w:r>
          </w:p>
        </w:tc>
        <w:tc>
          <w:tcPr>
            <w:tcW w:w="12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 Stock Awards</w:t>
            </w:r>
          </w:p>
        </w:tc>
        <w:tc>
          <w:tcPr>
            <w:tcW w:w="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20" w:type="dxa"/>
            <w:vAlign w:val="bottom"/>
          </w:tcPr>
          <w:p>
            <w:pPr>
              <w:spacing w:after="0"/>
              <w:rPr>
                <w:sz w:val="12"/>
                <w:szCs w:val="12"/>
                <w:color w:val="auto"/>
              </w:rPr>
            </w:pPr>
          </w:p>
        </w:tc>
        <w:tc>
          <w:tcPr>
            <w:tcW w:w="1560" w:type="dxa"/>
            <w:vAlign w:val="bottom"/>
            <w:gridSpan w:val="5"/>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Equity Values</w:t>
            </w: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20" w:type="dxa"/>
            <w:vAlign w:val="bottom"/>
          </w:tcPr>
          <w:p>
            <w:pPr>
              <w:spacing w:after="0"/>
              <w:rPr>
                <w:sz w:val="12"/>
                <w:szCs w:val="12"/>
                <w:color w:val="auto"/>
              </w:rPr>
            </w:pPr>
          </w:p>
        </w:tc>
        <w:tc>
          <w:tcPr>
            <w:tcW w:w="1560" w:type="dxa"/>
            <w:vAlign w:val="bottom"/>
            <w:gridSpan w:val="5"/>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left="568"/>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left="18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2,444,836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(1,597,065)</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1,391,400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2,239,171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Year-End Fair</w:t>
            </w:r>
          </w:p>
        </w:tc>
        <w:tc>
          <w:tcPr>
            <w:tcW w:w="580" w:type="dxa"/>
            <w:vAlign w:val="bottom"/>
          </w:tcPr>
          <w:p>
            <w:pPr>
              <w:spacing w:after="0"/>
              <w:rPr>
                <w:sz w:val="24"/>
                <w:szCs w:val="24"/>
                <w:color w:val="auto"/>
              </w:rPr>
            </w:pPr>
          </w:p>
        </w:tc>
        <w:tc>
          <w:tcPr>
            <w:tcW w:w="1740" w:type="dxa"/>
            <w:vAlign w:val="bottom"/>
            <w:gridSpan w:val="4"/>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7"/>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w:t>
            </w:r>
          </w:p>
        </w:tc>
        <w:tc>
          <w:tcPr>
            <w:tcW w:w="1700" w:type="dxa"/>
            <w:vAlign w:val="bottom"/>
            <w:gridSpan w:val="7"/>
            <w:vMerge w:val="restart"/>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100" w:type="dxa"/>
            <w:vAlign w:val="bottom"/>
          </w:tcPr>
          <w:p>
            <w:pPr>
              <w:spacing w:after="0"/>
              <w:rPr>
                <w:sz w:val="12"/>
                <w:szCs w:val="12"/>
                <w:color w:val="auto"/>
              </w:rPr>
            </w:pPr>
          </w:p>
        </w:tc>
        <w:tc>
          <w:tcPr>
            <w:tcW w:w="182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20" w:type="dxa"/>
            <w:vAlign w:val="bottom"/>
          </w:tcPr>
          <w:p>
            <w:pPr>
              <w:spacing w:after="0"/>
              <w:rPr>
                <w:sz w:val="12"/>
                <w:szCs w:val="12"/>
                <w:color w:val="auto"/>
              </w:rPr>
            </w:pPr>
          </w:p>
        </w:tc>
        <w:tc>
          <w:tcPr>
            <w:tcW w:w="1560" w:type="dxa"/>
            <w:vAlign w:val="bottom"/>
            <w:gridSpan w:val="5"/>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w:t>
            </w:r>
          </w:p>
        </w:tc>
        <w:tc>
          <w:tcPr>
            <w:tcW w:w="1700" w:type="dxa"/>
            <w:vAlign w:val="bottom"/>
            <w:gridSpan w:val="7"/>
            <w:vMerge w:val="continue"/>
          </w:tcPr>
          <w:p>
            <w:pPr>
              <w:spacing w:after="0"/>
              <w:rPr>
                <w:sz w:val="12"/>
                <w:szCs w:val="12"/>
                <w:color w:val="auto"/>
              </w:rPr>
            </w:pPr>
          </w:p>
        </w:tc>
        <w:tc>
          <w:tcPr>
            <w:tcW w:w="1920" w:type="dxa"/>
            <w:vAlign w:val="bottom"/>
            <w:gridSpan w:val="7"/>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Vesting</w:t>
            </w:r>
          </w:p>
        </w:tc>
        <w:tc>
          <w:tcPr>
            <w:tcW w:w="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to Last Day of</w:t>
            </w:r>
          </w:p>
        </w:tc>
        <w:tc>
          <w:tcPr>
            <w:tcW w:w="1700" w:type="dxa"/>
            <w:vAlign w:val="bottom"/>
            <w:gridSpan w:val="7"/>
          </w:tcPr>
          <w:p>
            <w:pPr>
              <w:jc w:val="center"/>
              <w:ind w:right="530"/>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00" w:type="dxa"/>
            <w:vAlign w:val="bottom"/>
          </w:tcPr>
          <w:p>
            <w:pPr>
              <w:spacing w:after="0"/>
              <w:rPr>
                <w:sz w:val="12"/>
                <w:szCs w:val="12"/>
                <w:color w:val="auto"/>
              </w:rPr>
            </w:pPr>
          </w:p>
        </w:tc>
        <w:tc>
          <w:tcPr>
            <w:tcW w:w="182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580" w:type="dxa"/>
            <w:vAlign w:val="bottom"/>
            <w:gridSpan w:val="6"/>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Year of Unvested</w:t>
            </w:r>
          </w:p>
        </w:tc>
        <w:tc>
          <w:tcPr>
            <w:tcW w:w="1700" w:type="dxa"/>
            <w:vAlign w:val="bottom"/>
            <w:gridSpan w:val="7"/>
          </w:tcPr>
          <w:p>
            <w:pPr>
              <w:jc w:val="center"/>
              <w:ind w:right="51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2"/>
                <w:szCs w:val="12"/>
                <w:color w:val="auto"/>
              </w:rPr>
            </w:pPr>
          </w:p>
        </w:tc>
        <w:tc>
          <w:tcPr>
            <w:tcW w:w="1820" w:type="dxa"/>
            <w:vAlign w:val="bottom"/>
            <w:gridSpan w:val="6"/>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0" w:type="dxa"/>
            <w:vAlign w:val="bottom"/>
          </w:tcPr>
          <w:p>
            <w:pPr>
              <w:spacing w:after="0"/>
              <w:rPr>
                <w:sz w:val="12"/>
                <w:szCs w:val="12"/>
                <w:color w:val="auto"/>
              </w:rPr>
            </w:pPr>
          </w:p>
        </w:tc>
        <w:tc>
          <w:tcPr>
            <w:tcW w:w="156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Year of Equity</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700" w:type="dxa"/>
            <w:vAlign w:val="bottom"/>
            <w:gridSpan w:val="7"/>
          </w:tcPr>
          <w:p>
            <w:pPr>
              <w:jc w:val="center"/>
              <w:ind w:right="53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920" w:type="dxa"/>
            <w:vAlign w:val="bottom"/>
            <w:gridSpan w:val="7"/>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 Prior</w:t>
            </w:r>
          </w:p>
        </w:tc>
        <w:tc>
          <w:tcPr>
            <w:tcW w:w="20" w:type="dxa"/>
            <w:vAlign w:val="bottom"/>
          </w:tcPr>
          <w:p>
            <w:pPr>
              <w:spacing w:after="0"/>
              <w:rPr>
                <w:sz w:val="12"/>
                <w:szCs w:val="12"/>
                <w:color w:val="auto"/>
              </w:rPr>
            </w:pPr>
          </w:p>
        </w:tc>
        <w:tc>
          <w:tcPr>
            <w:tcW w:w="156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Inclusion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w:t>
            </w:r>
          </w:p>
        </w:tc>
        <w:tc>
          <w:tcPr>
            <w:tcW w:w="1700" w:type="dxa"/>
            <w:vAlign w:val="bottom"/>
            <w:gridSpan w:val="7"/>
          </w:tcPr>
          <w:p>
            <w:pPr>
              <w:jc w:val="center"/>
              <w:ind w:right="53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100" w:type="dxa"/>
            <w:vAlign w:val="bottom"/>
          </w:tcPr>
          <w:p>
            <w:pPr>
              <w:spacing w:after="0"/>
              <w:rPr>
                <w:sz w:val="12"/>
                <w:szCs w:val="12"/>
                <w:color w:val="auto"/>
              </w:rPr>
            </w:pPr>
          </w:p>
        </w:tc>
        <w:tc>
          <w:tcPr>
            <w:tcW w:w="182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Year that Vested</w:t>
            </w:r>
          </w:p>
        </w:tc>
        <w:tc>
          <w:tcPr>
            <w:tcW w:w="20" w:type="dxa"/>
            <w:vAlign w:val="bottom"/>
          </w:tcPr>
          <w:p>
            <w:pPr>
              <w:spacing w:after="0"/>
              <w:rPr>
                <w:sz w:val="12"/>
                <w:szCs w:val="12"/>
                <w:color w:val="auto"/>
              </w:rPr>
            </w:pPr>
          </w:p>
        </w:tc>
        <w:tc>
          <w:tcPr>
            <w:tcW w:w="1560" w:type="dxa"/>
            <w:vAlign w:val="bottom"/>
            <w:gridSpan w:val="5"/>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580" w:type="dxa"/>
            <w:vAlign w:val="bottom"/>
          </w:tcPr>
          <w:p>
            <w:pPr>
              <w:spacing w:after="0"/>
              <w:rPr>
                <w:sz w:val="12"/>
                <w:szCs w:val="12"/>
                <w:color w:val="auto"/>
              </w:rPr>
            </w:pPr>
          </w:p>
        </w:tc>
        <w:tc>
          <w:tcPr>
            <w:tcW w:w="1740" w:type="dxa"/>
            <w:vAlign w:val="bottom"/>
            <w:gridSpan w:val="4"/>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Prior Year for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center"/>
              <w:ind w:right="770"/>
              <w:spacing w:after="0" w:line="149" w:lineRule="exact"/>
              <w:rPr>
                <w:sz w:val="20"/>
                <w:szCs w:val="20"/>
                <w:color w:val="auto"/>
              </w:rPr>
            </w:pPr>
            <w:r>
              <w:rPr>
                <w:rFonts w:ascii="Times New Roman" w:cs="Times New Roman" w:eastAsia="Times New Roman" w:hAnsi="Times New Roman"/>
                <w:sz w:val="14"/>
                <w:szCs w:val="14"/>
                <w:b w:val="1"/>
                <w:bCs w:val="1"/>
                <w:color w:val="auto"/>
              </w:rPr>
              <w:t>Year for</w:t>
            </w:r>
          </w:p>
        </w:tc>
        <w:tc>
          <w:tcPr>
            <w:tcW w:w="100" w:type="dxa"/>
            <w:vAlign w:val="bottom"/>
          </w:tcPr>
          <w:p>
            <w:pPr>
              <w:spacing w:after="0"/>
              <w:rPr>
                <w:sz w:val="12"/>
                <w:szCs w:val="12"/>
                <w:color w:val="auto"/>
              </w:rPr>
            </w:pPr>
          </w:p>
        </w:tc>
        <w:tc>
          <w:tcPr>
            <w:tcW w:w="182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20" w:type="dxa"/>
            <w:vAlign w:val="bottom"/>
          </w:tcPr>
          <w:p>
            <w:pPr>
              <w:spacing w:after="0"/>
              <w:rPr>
                <w:sz w:val="12"/>
                <w:szCs w:val="12"/>
                <w:color w:val="auto"/>
              </w:rPr>
            </w:pPr>
          </w:p>
        </w:tc>
        <w:tc>
          <w:tcPr>
            <w:tcW w:w="1560" w:type="dxa"/>
            <w:vAlign w:val="bottom"/>
            <w:gridSpan w:val="5"/>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2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Values</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vMerge w:val="restart"/>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center"/>
              <w:ind w:right="77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5"/>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PEO 2</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PEO 2</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jc w:val="center"/>
              <w:ind w:left="14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tcPr>
          <w:p>
            <w:pPr>
              <w:jc w:val="center"/>
              <w:ind w:left="4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3,224,443</w:t>
            </w: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(1,046,174)</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ind w:left="66"/>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2,346,884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4,525,153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Change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to</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to</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Vesting-</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580" w:type="dxa"/>
            <w:vAlign w:val="bottom"/>
          </w:tcPr>
          <w:p>
            <w:pPr>
              <w:spacing w:after="0"/>
              <w:rPr>
                <w:sz w:val="12"/>
                <w:szCs w:val="12"/>
                <w:color w:val="auto"/>
              </w:rPr>
            </w:pPr>
          </w:p>
        </w:tc>
        <w:tc>
          <w:tcPr>
            <w:tcW w:w="860" w:type="dxa"/>
            <w:vAlign w:val="bottom"/>
            <w:gridSpan w:val="2"/>
          </w:tcPr>
          <w:p>
            <w:pPr>
              <w:jc w:val="center"/>
              <w:ind w:left="66"/>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that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2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w:t>
            </w: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any</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for</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58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1440" w:type="dxa"/>
            <w:vAlign w:val="bottom"/>
            <w:gridSpan w:val="3"/>
          </w:tcPr>
          <w:p>
            <w:pPr>
              <w:jc w:val="center"/>
              <w:ind w:left="644"/>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left="7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9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tcPr>
          <w:p>
            <w:pPr>
              <w:jc w:val="center"/>
              <w:ind w:left="2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2"/>
          </w:tcPr>
          <w:p>
            <w:pPr>
              <w:jc w:val="center"/>
              <w:ind w:left="4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1,302,731</w:t>
            </w:r>
          </w:p>
        </w:tc>
        <w:tc>
          <w:tcPr>
            <w:tcW w:w="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(214,864)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1020" w:type="dxa"/>
            <w:vAlign w:val="bottom"/>
            <w:tcBorders>
              <w:top w:val="single" w:sz="8" w:color="auto"/>
            </w:tcBorders>
            <w:gridSpan w:val="3"/>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9"/>
              </w:rPr>
              <w:t>303,532</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1,391,400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20" w:hanging="424"/>
        <w:spacing w:after="0" w:line="258"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NASDAQ Biotechnology Index (“NASDAQ Biotech Index”), which we also utilize in the stock performance graph required by Item 201(e) of Regulation S-K included in our Annual Report on Form 10-K for the year ended December 31, 2025, filed with the SEC on February 12, 2026. The comparison assumes $100 was invested for the period starting December 31, 2020, through the end of the listed year in the company and in the NASDAQ Biotech Index, respectively. Historical stock performance is not necessarily indicative of future stock performance.</w:t>
      </w:r>
    </w:p>
    <w:p>
      <w:pPr>
        <w:spacing w:after="0" w:line="210"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net product revenue to be the most important financial performance measure used to link company performance to Compensation Actually Paid to our PEO and Non-PEO NEOs in 2025. This performance measure may not have been the most important financial performance measure for 2021 and we may determine a different financial performance measure to be the most important financial performance measure in future years. Assumptions used in revenue recognition are described in Note 2, Summary of Significant Accounting Policies, to our Consolidated Financial Statements in our Annual Report on Form 10-K for the year ended December 31, 2025, filed with the SEC on February 12, 2026.</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Cumulative TSR</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company’s cumulative TSR over the five most recently completed fiscal years. The chart also compares the company’s cumulative TSR to that of the NASDAQ Biotech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140335</wp:posOffset>
            </wp:positionV>
            <wp:extent cx="5212080" cy="32746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80"/>
          </w:cols>
          <w:pgMar w:left="320" w:top="482" w:right="7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3111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80"/>
          </w:cols>
          <w:pgMar w:left="320" w:top="482" w:right="7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Product Revenue</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product revenue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3111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and Non-Financial Performance Measures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financial and non-financial performance measures that the company considers to have been the most important in linking Compensation Actually Paid to our PEO and other Non-PEO NEOs for 2025 to company performance. Of these measures, as noted above, we have identified net product revenue to be the most important financial performance measure used to link company performance to Compensation Actually Paid to our PEO and Non-PEO NEOs in 2025.</w:t>
      </w: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Net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-127635</wp:posOffset>
            </wp:positionV>
            <wp:extent cx="2099945" cy="436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99945" cy="436880"/>
                    </a:xfrm>
                    <a:prstGeom prst="rect">
                      <a:avLst/>
                    </a:prstGeom>
                    <a:noFill/>
                  </pic:spPr>
                </pic:pic>
              </a:graphicData>
            </a:graphic>
          </wp:anchor>
        </w:drawing>
      </w:r>
    </w:p>
    <w:p>
      <w:pPr>
        <w:spacing w:after="0" w:line="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Clinical Milestones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Research Milestones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20"/>
          </w:cols>
          <w:pgMar w:left="320" w:top="482" w:right="6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Our Equity Compensation Plans</w:t>
      </w:r>
    </w:p>
    <w:p>
      <w:pPr>
        <w:spacing w:after="0" w:line="121" w:lineRule="exact"/>
        <w:rPr>
          <w:sz w:val="20"/>
          <w:szCs w:val="20"/>
          <w:color w:val="auto"/>
        </w:rPr>
      </w:pPr>
    </w:p>
    <w:p>
      <w:pPr>
        <w:ind w:left="120" w:right="1040" w:firstLine="771"/>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December 31, 2025.</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8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3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67"/>
        </w:trPr>
        <w:tc>
          <w:tcPr>
            <w:tcW w:w="5820" w:type="dxa"/>
            <w:vAlign w:val="bottom"/>
            <w:gridSpan w:val="2"/>
            <w:vMerge w:val="continue"/>
          </w:tcPr>
          <w:p>
            <w:pPr>
              <w:spacing w:after="0"/>
              <w:rPr>
                <w:sz w:val="14"/>
                <w:szCs w:val="14"/>
                <w:color w:val="auto"/>
              </w:rPr>
            </w:pPr>
          </w:p>
        </w:tc>
        <w:tc>
          <w:tcPr>
            <w:tcW w:w="148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40"/>
              <w:spacing w:after="0" w:line="160"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3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5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9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2013 Stock Incentive Plan</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3,353,179(1)</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46.52(2)</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2013 Employee Stock Purchase Plan</w:t>
            </w:r>
          </w:p>
        </w:tc>
        <w:tc>
          <w:tcPr>
            <w:tcW w:w="14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1,449,951</w:t>
            </w:r>
          </w:p>
        </w:tc>
        <w:tc>
          <w:tcPr>
            <w:tcW w:w="0" w:type="dxa"/>
            <w:vAlign w:val="bottom"/>
          </w:tcPr>
          <w:p>
            <w:pPr>
              <w:spacing w:after="0"/>
              <w:rPr>
                <w:sz w:val="1"/>
                <w:szCs w:val="1"/>
                <w:color w:val="auto"/>
              </w:rPr>
            </w:pPr>
          </w:p>
        </w:tc>
      </w:tr>
      <w:tr>
        <w:trPr>
          <w:trHeight w:val="216"/>
        </w:trPr>
        <w:tc>
          <w:tcPr>
            <w:tcW w:w="58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2023 Stock Incentive Plan, as amended</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4,186,224(1)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33.32(2)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3,835,495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holders(3)</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957,032(1)</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29.18(4)</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8,496,435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3"/>
              </w:rPr>
              <w:t>39.62</w:t>
            </w:r>
          </w:p>
        </w:tc>
        <w:tc>
          <w:tcPr>
            <w:tcW w:w="9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are included assuming maximum performance for all outstanding unvested PSUs.</w:t>
      </w:r>
    </w:p>
    <w:p>
      <w:pPr>
        <w:spacing w:after="0" w:line="252"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does not take into account, as applicable, the 162,782 shares of common stock subject to outstanding RSUs under the 2013 Stock Incentive Plan, the 1,810,837 shares of common stock subject to outstanding RSUs under the 2023 Stock Incentive Plan, as amended, or the 323,250 shares of common stock subject to outstanding PSUs under the 2023 Stock Incentive Plan, as amended. RSUs and PSUs do not have an exercise price. Such shares will be issued at the time such awards vest, without any cash consideration payable for those shares.</w:t>
      </w:r>
    </w:p>
    <w:p>
      <w:pPr>
        <w:spacing w:after="0" w:line="206"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awards granted to Mr. Goff and Ms. Jones during 2022 and 2023 and to Dr. Viswanadhan during 2025 outside of our equity incentive plans, as inducements material to their respective entry into employment with us in accordance with Nasdaq Listing Rule 5635(c)</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These awards consist of (i) an option to purchase 561,083 shares of common stock at an exercise price of $29.38 per share granted to</w:t>
      </w:r>
    </w:p>
    <w:p>
      <w:pPr>
        <w:spacing w:after="0" w:line="9" w:lineRule="exact"/>
        <w:rPr>
          <w:rFonts w:ascii="Times New Roman" w:cs="Times New Roman" w:eastAsia="Times New Roman" w:hAnsi="Times New Roman"/>
          <w:sz w:val="18"/>
          <w:szCs w:val="18"/>
          <w:color w:val="auto"/>
        </w:rPr>
      </w:pPr>
    </w:p>
    <w:p>
      <w:pPr>
        <w:ind w:left="540"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Goff, an option to purchase 118,390 shares of common stock at an exercise price of $27.88 per share granted to Ms. Jones, and an option to purchase 55,374 shares of common stock at an exercise price of $33.95 per share granted to Dr. Viswanadhan, which options shall vest as to 25% of the underlying shares on the one year anniversary of the respective dates of grant and as to the remaining shares on a monthly basis thereafter, of which all options were all outstanding as of December 31, 2025; (ii) grants of RSUs, an aggregate of which 32,775 were outstanding as of December 31, 2025 and (iii) grants of PSUs, an aggregate of which 53,728 were outstanding as of December 31, 2025. For more information about the awards, see “Executive Compensation” above.</w:t>
      </w:r>
    </w:p>
    <w:p>
      <w:pPr>
        <w:spacing w:after="0" w:line="216" w:lineRule="exact"/>
        <w:rPr>
          <w:rFonts w:ascii="Times New Roman" w:cs="Times New Roman" w:eastAsia="Times New Roman" w:hAnsi="Times New Roman"/>
          <w:sz w:val="18"/>
          <w:szCs w:val="18"/>
          <w:color w:val="auto"/>
        </w:rPr>
      </w:pPr>
    </w:p>
    <w:p>
      <w:pPr>
        <w:jc w:val="both"/>
        <w:ind w:left="540" w:right="80" w:hanging="424"/>
        <w:spacing w:after="0" w:line="266"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does not take into account the 32,775 shares subject to RSUs or the 53,728 shares subject to PSUs granted as inducement awards that were outstanding as of December 31, 2025. RSUs and PSUs do not have an exercise price. Such shares will be issued at the time such awards vest, without any cash consideration payable for those shares.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For 2025, the members of our compensation &amp; people committee were Ms. Smith (chair), Ms. Owen Adams and Ms. Foster, none of whom is, or ever has been, an officer or employee of our company. None of our executive officers served as a director or a member of a compensation committee (or other committee serving an equivalent function) of any other entity that has one or more executive officers who served as a member of our board of directors or compensation &amp; people committee during the fiscal year ended December 31, 2025.</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40"/>
          </w:cols>
          <w:pgMar w:left="320" w:top="482"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6" w:lineRule="exact"/>
        <w:rPr>
          <w:sz w:val="20"/>
          <w:szCs w:val="20"/>
          <w:color w:val="auto"/>
        </w:rPr>
      </w:pPr>
    </w:p>
    <w:p>
      <w:pPr>
        <w:ind w:left="120" w:right="80" w:firstLine="771"/>
        <w:spacing w:after="0" w:line="282" w:lineRule="auto"/>
        <w:rPr>
          <w:sz w:val="20"/>
          <w:szCs w:val="20"/>
          <w:color w:val="auto"/>
        </w:rPr>
      </w:pPr>
      <w:r>
        <w:rPr>
          <w:rFonts w:ascii="Times New Roman" w:cs="Times New Roman" w:eastAsia="Times New Roman" w:hAnsi="Times New Roman"/>
          <w:sz w:val="18"/>
          <w:szCs w:val="18"/>
          <w:color w:val="auto"/>
        </w:rPr>
        <w:t>Since January 1, 2025, we have not engaged in any transactions with our directors, director nominees, executive officers and holders of more than 5% of our voting securities (or their immediate family members), or affiliates of our directors, executive officers and 5% stockholders.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70"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We have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203" w:lineRule="exact"/>
        <w:rPr>
          <w:sz w:val="20"/>
          <w:szCs w:val="20"/>
          <w:color w:val="auto"/>
        </w:rPr>
      </w:pPr>
    </w:p>
    <w:p>
      <w:pPr>
        <w:ind w:left="120" w:right="40" w:firstLine="771"/>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the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89"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243" w:lineRule="exact"/>
        <w:rPr>
          <w:sz w:val="20"/>
          <w:szCs w:val="20"/>
          <w:color w:val="auto"/>
        </w:rPr>
      </w:pPr>
    </w:p>
    <w:p>
      <w:pPr>
        <w:ind w:left="1540" w:hanging="331"/>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306" w:lineRule="exact"/>
        <w:rPr>
          <w:rFonts w:ascii="Times New Roman" w:cs="Times New Roman" w:eastAsia="Times New Roman" w:hAnsi="Times New Roman"/>
          <w:sz w:val="18"/>
          <w:szCs w:val="18"/>
          <w:color w:val="auto"/>
        </w:rPr>
      </w:pPr>
    </w:p>
    <w:p>
      <w:pPr>
        <w:ind w:left="1540" w:right="340" w:hanging="331"/>
        <w:spacing w:after="0" w:line="282"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24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terms of the transaction are no less favorable to us than terms that could have been reached with an unrelated third party;</w:t>
      </w:r>
    </w:p>
    <w:p>
      <w:pPr>
        <w:spacing w:after="0" w:line="317"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306"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202" w:lineRule="exact"/>
        <w:rPr>
          <w:sz w:val="20"/>
          <w:szCs w:val="20"/>
          <w:color w:val="auto"/>
        </w:rPr>
      </w:pPr>
    </w:p>
    <w:p>
      <w:pPr>
        <w:ind w:left="120" w:right="140" w:firstLine="771"/>
        <w:spacing w:after="0" w:line="312" w:lineRule="auto"/>
        <w:rPr>
          <w:sz w:val="20"/>
          <w:szCs w:val="20"/>
          <w:color w:val="auto"/>
        </w:rPr>
      </w:pPr>
      <w:r>
        <w:rPr>
          <w:rFonts w:ascii="Times New Roman" w:cs="Times New Roman" w:eastAsia="Times New Roman" w:hAnsi="Times New Roman"/>
          <w:sz w:val="17"/>
          <w:szCs w:val="17"/>
          <w:color w:val="auto"/>
        </w:rPr>
        <w:t>The committee may approve or ratify the transaction only if the committee determines that, under all of the circumstances, the transaction is in or is not inconsistent with our best interests. The committee may impose any conditions on the related person transaction that it deems appropriate.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771"/>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57" w:lineRule="exact"/>
        <w:rPr>
          <w:sz w:val="20"/>
          <w:szCs w:val="20"/>
          <w:color w:val="auto"/>
        </w:rPr>
      </w:pPr>
    </w:p>
    <w:p>
      <w:pPr>
        <w:ind w:left="1540" w:right="60" w:hanging="331"/>
        <w:spacing w:after="0" w:line="255" w:lineRule="auto"/>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their immediate family members are not involved in the negotiation of the terms of the transaction and do not receive any special benefits as a result of the transaction, (c) the amount involved in the transaction equals less than the greater of $1 million dollars or 2% of the annual consolidated gross revenues of the other entity that is a party to the transaction, and (d) the amount involved in the transaction equals less than 2% of our annual consolidated gross revenues; and</w:t>
      </w:r>
    </w:p>
    <w:p>
      <w:pPr>
        <w:spacing w:after="0" w:line="269"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charter or bylaws.</w:t>
      </w:r>
    </w:p>
    <w:p>
      <w:pPr>
        <w:spacing w:after="0" w:line="252" w:lineRule="exact"/>
        <w:rPr>
          <w:sz w:val="20"/>
          <w:szCs w:val="20"/>
          <w:color w:val="auto"/>
        </w:rPr>
      </w:pPr>
    </w:p>
    <w:p>
      <w:pPr>
        <w:ind w:left="120" w:firstLine="771"/>
        <w:spacing w:after="0" w:line="282" w:lineRule="auto"/>
        <w:rPr>
          <w:sz w:val="20"/>
          <w:szCs w:val="20"/>
          <w:color w:val="auto"/>
        </w:rPr>
      </w:pPr>
      <w:r>
        <w:rPr>
          <w:rFonts w:ascii="Times New Roman" w:cs="Times New Roman" w:eastAsia="Times New Roman" w:hAnsi="Times New Roman"/>
          <w:sz w:val="18"/>
          <w:szCs w:val="18"/>
          <w:color w:val="auto"/>
        </w:rPr>
        <w:t>Our related persons transaction policy provides that transactions involving compensation of executive officers shall be reviewed and approved by the compensation &amp; people committee in the manner specified in its charter.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256" w:lineRule="exact"/>
        <w:rPr>
          <w:sz w:val="20"/>
          <w:szCs w:val="20"/>
          <w:color w:val="auto"/>
        </w:rPr>
      </w:pPr>
    </w:p>
    <w:p>
      <w:pPr>
        <w:ind w:left="120" w:right="20" w:firstLine="771"/>
        <w:spacing w:after="0" w:line="256"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NEOs as disclosed in this Proxy Statement in accordance with Section 14A of the Exchange Act. This proposal, which is commonly referred to as “say-on-pay,” is required by the Dodd-Frank Wall Street Reform and Consumer Protection Act of 2010, which added Section 14A to the Exchange Act. At the 2022 annual meeting of stockholders, stockholders approved, on an advisory basis, an annual advisory vote on the compensation of our named executive officers. In accordance with the results of this vote, the board of directors determined to implement an advisory vote on the compensation of our named executive officers every year.</w:t>
      </w:r>
    </w:p>
    <w:p>
      <w:pPr>
        <w:spacing w:after="0" w:line="187"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The section of this Proxy Statement titled “Executive Compensation” beginning on page 40, including “Compensation Discussion and Analysis,” describes in detail our executive compensation program and the decisions made by our compensation &amp; people committee and board of directors for the year ended December 31, 2025. As we describe in greater detail in the “Compensation Discussion and Analysis” section, our executive compensation program is designed to reward value creation for stockholders and progress towards achieving our mission and promote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NEOs with a mix of short-term and long-term performance-based incentives to encourage strong performance, and our board of directors believes that this link between compensation and the achievement of our short- and long-term business goals has helped drive our performance over time.</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266" w:lineRule="exact"/>
        <w:rPr>
          <w:sz w:val="20"/>
          <w:szCs w:val="20"/>
          <w:color w:val="auto"/>
        </w:rPr>
      </w:pPr>
    </w:p>
    <w:p>
      <w:pPr>
        <w:ind w:left="880" w:right="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NEOs, as disclosed pursuant to the compensation disclosure rules of the SEC, including the “Compensation Discussion and Analysis”, the compensation tables and any related material disclosed in this Proxy Statement, is hereby approved.</w:t>
      </w:r>
    </w:p>
    <w:p>
      <w:pPr>
        <w:spacing w:after="0" w:line="216"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will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&amp; people committee and board of directors value the opinions expressed by our stockholders in their vote on this proposal and intend to consider carefully the outcome of the vote when making future compensation decisions for NEOs.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6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STOCKHOLDERS VOTE, ON AN ADVISORY BASIS, TO APPROVE THE COMPENSATION OF OUR NEOS BY VOTING ‘FOR’ THIS PROPOSAL.</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40"/>
          </w:cols>
          <w:pgMar w:left="320" w:top="482"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24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OF AN AMENDMENT TO THE AGIOS PHARMACEUTICALS, INC. 2023 STOCK INCENTIVE PLAN, AS AMENDED</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We are Requesting Stockholder Approval</w:t>
      </w:r>
    </w:p>
    <w:p>
      <w:pPr>
        <w:spacing w:after="0" w:line="270" w:lineRule="exact"/>
        <w:rPr>
          <w:sz w:val="20"/>
          <w:szCs w:val="20"/>
          <w:color w:val="auto"/>
        </w:rPr>
      </w:pPr>
    </w:p>
    <w:p>
      <w:pPr>
        <w:ind w:left="120" w:right="20" w:firstLine="771"/>
        <w:spacing w:after="0" w:line="253" w:lineRule="auto"/>
        <w:rPr>
          <w:sz w:val="20"/>
          <w:szCs w:val="20"/>
          <w:color w:val="auto"/>
        </w:rPr>
      </w:pPr>
      <w:r>
        <w:rPr>
          <w:rFonts w:ascii="Times New Roman" w:cs="Times New Roman" w:eastAsia="Times New Roman" w:hAnsi="Times New Roman"/>
          <w:sz w:val="18"/>
          <w:szCs w:val="18"/>
          <w:color w:val="auto"/>
        </w:rPr>
        <w:t>We are asking stockholders to approve an amendment to the Agios Pharmaceuticals, Inc. 2023 Stock Incentive Plan (the “2023 Plan Amendment”). The 2023 Plan Amendment amends the 2023 Stock Incentive Plan, as previously amended (the “Current Plan”), to increase the number of shares available for the issuance of awards, and the number of shares that may be issued subject to “incentive stock options” (as described below), under the Current Plan. We refer to the Current Plan, as amended by the 2023 Plan Amendment, as the “Amended Plan.” Our board of directors believes that our success depends, in large part, on our ability to maintain a competitive position by attracting, retaining and motivating key employees with experience and ability. Central to these objectives is our equity-based compensation program, which is consistent with our compensation philosophy and the compensatory practices of other pharmaceutical and biotechnology companies in our peer group and other companies that we compete with for talent. We and our board of directors understand that our equity-compensation needs must be balanced against the dilutive effect of such programs on our stockholders. To that end, and based on careful weighing of these considerations, as more fully described below, on April 16, 2026, upon the recommendation of our compensation &amp; people committee, and subject to stockholder approval, our board of directors adopted the 2023 Plan Amendment. If this proposal is approved by our stockholders, we intend to register the additional shares reserved for issuance under the Amended Plan by filing a Registration Statement on Form S-8 as soon as practicable following such approval.</w:t>
      </w:r>
    </w:p>
    <w:p>
      <w:pPr>
        <w:spacing w:after="0" w:line="190"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The Current Plan is our existing equity incentive plan, which was originally approved by our board of directors on April 12, 2023, and by our stockholders on June 13, 2023. A prior amendment to our Current Plan, which increased the share pool available for equity awards by 2,500,000 shares, was approved by our board of directors on April 14, 2025, and by our stockholders on June 18, 2025. When the Current Plan was most recently amended, we expected that the share pool under the Current Plan would allow us to continue to grant equity awards (other than to certain newly hired executives who may receive grants outside of the Current Plan pursuant to the inducement grant exception under Nasdaq Listing Rule 5635(c)(4) to the extent eligible) at our historic rates for approximately one year. Consistent with that expectation, the remaining share pool under the Current Plan is now insufficient to meet our future equity compensation needs. The proposed 2023 Plan Amendment therefore increases the share pool under the Current Plan by 2,000,000 shares of common stock and increases the number of shares that may be issued as incentive stock options by the same number. No other changes are being made to the Current Plan. If approved, the new shares reserved under the Amended Plan would represent approximately 3.4% of our 59,341,338 outstanding shares as of March 31, 2026. Our board of directors believes the proposed dilution to stockholders as a result of the 2023 Plan Amendment is judicious and sustainable and, importantly, critical to meet our business goals.</w:t>
      </w:r>
    </w:p>
    <w:p>
      <w:pPr>
        <w:spacing w:after="0" w:line="192" w:lineRule="exact"/>
        <w:rPr>
          <w:sz w:val="20"/>
          <w:szCs w:val="20"/>
          <w:color w:val="auto"/>
        </w:rPr>
      </w:pPr>
    </w:p>
    <w:p>
      <w:pPr>
        <w:ind w:left="120" w:right="260" w:firstLine="771"/>
        <w:spacing w:after="0" w:line="282" w:lineRule="auto"/>
        <w:rPr>
          <w:sz w:val="20"/>
          <w:szCs w:val="20"/>
          <w:color w:val="auto"/>
        </w:rPr>
      </w:pPr>
      <w:r>
        <w:rPr>
          <w:rFonts w:ascii="Times New Roman" w:cs="Times New Roman" w:eastAsia="Times New Roman" w:hAnsi="Times New Roman"/>
          <w:sz w:val="18"/>
          <w:szCs w:val="18"/>
          <w:color w:val="auto"/>
        </w:rPr>
        <w:t>In developing our share request for the 2023 Plan Amendment and analyzing the impact of utilizing equity as a means of compensation on our stockholders, we considered both our “overhang” and our “burn rate.”</w:t>
      </w:r>
    </w:p>
    <w:p>
      <w:pPr>
        <w:spacing w:after="0" w:line="162" w:lineRule="exact"/>
        <w:rPr>
          <w:sz w:val="20"/>
          <w:szCs w:val="20"/>
          <w:color w:val="auto"/>
        </w:rPr>
      </w:pPr>
    </w:p>
    <w:p>
      <w:pPr>
        <w:ind w:left="120" w:firstLine="771"/>
        <w:spacing w:after="0" w:line="256" w:lineRule="auto"/>
        <w:rPr>
          <w:sz w:val="20"/>
          <w:szCs w:val="20"/>
          <w:color w:val="auto"/>
        </w:rPr>
      </w:pPr>
      <w:r>
        <w:rPr>
          <w:rFonts w:ascii="Times New Roman" w:cs="Times New Roman" w:eastAsia="Times New Roman" w:hAnsi="Times New Roman"/>
          <w:sz w:val="18"/>
          <w:szCs w:val="18"/>
          <w:color w:val="auto"/>
        </w:rPr>
        <w:t>Overhang is a measure of potential dilution, which we define as the sum of (i) the total number of shares underlying all equity awards outstanding and (ii) the total number of shares available for future award grants, divided by the number of shares of common stock outstanding. As of March 31, 2026, there were 9,653,244 shares underlying all equity awards outstanding (assuming maximum performance under PSUs), 1,977,151 shares available under the Current Plan for future awards, and 59,341,338 shares of common stock outstanding. Accordingly, our overhang at March 31, 2026 was 19.6%. If the 2,000,000 shares proposed to be authorized for grant under the 2023 Plan Amendment are included in the calculation, our overhang on March 31, 2026 would have been 23.0%.</w:t>
      </w:r>
    </w:p>
    <w:p>
      <w:pPr>
        <w:spacing w:after="0" w:line="187" w:lineRule="exact"/>
        <w:rPr>
          <w:sz w:val="20"/>
          <w:szCs w:val="20"/>
          <w:color w:val="auto"/>
        </w:rPr>
      </w:pPr>
    </w:p>
    <w:p>
      <w:pPr>
        <w:ind w:left="120" w:right="360" w:firstLine="771"/>
        <w:spacing w:after="0" w:line="282" w:lineRule="auto"/>
        <w:rPr>
          <w:sz w:val="20"/>
          <w:szCs w:val="20"/>
          <w:color w:val="auto"/>
        </w:rPr>
      </w:pPr>
      <w:r>
        <w:rPr>
          <w:rFonts w:ascii="Times New Roman" w:cs="Times New Roman" w:eastAsia="Times New Roman" w:hAnsi="Times New Roman"/>
          <w:sz w:val="18"/>
          <w:szCs w:val="18"/>
          <w:color w:val="auto"/>
        </w:rPr>
        <w:t>Burn rate provides a measure of the potential dilutive impact of our equity award program, which we calculate by dividing the number of shares subject to equity awards granted during the year by the basic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weighted average number of shares outstanding. Set forth below is a table that reflects our burn rate for the 2025, 2024 and 2023 calendar years, as well as an average over those years.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Basic Weighted</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Full Value</w:t>
            </w:r>
          </w:p>
        </w:tc>
        <w:tc>
          <w:tcPr>
            <w:tcW w:w="14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Number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600" w:type="dxa"/>
            <w:vAlign w:val="bottom"/>
            <w:vMerge w:val="restart"/>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2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 Burn</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3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Awards (RSU,</w:t>
            </w: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2600" w:type="dxa"/>
            <w:vAlign w:val="bottom"/>
          </w:tcPr>
          <w:p>
            <w:pPr>
              <w:jc w:val="center"/>
              <w:ind w:left="878"/>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3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PSU) Granted</w:t>
            </w:r>
          </w:p>
        </w:tc>
        <w:tc>
          <w:tcPr>
            <w:tcW w:w="142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73"/>
        </w:trPr>
        <w:tc>
          <w:tcPr>
            <w:tcW w:w="2940" w:type="dxa"/>
            <w:vAlign w:val="bottom"/>
            <w:vMerge w:val="continue"/>
          </w:tcPr>
          <w:p>
            <w:pPr>
              <w:spacing w:after="0"/>
              <w:rPr>
                <w:sz w:val="15"/>
                <w:szCs w:val="15"/>
                <w:color w:val="auto"/>
              </w:rPr>
            </w:pPr>
          </w:p>
        </w:tc>
        <w:tc>
          <w:tcPr>
            <w:tcW w:w="2600" w:type="dxa"/>
            <w:vAlign w:val="bottom"/>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 (1)</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971,460</w:t>
            </w: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1,367,160</w:t>
            </w:r>
          </w:p>
        </w:tc>
        <w:tc>
          <w:tcPr>
            <w:tcW w:w="1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2,338,620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57,972,004</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1,050,087</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1,327,164</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2,377,251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56,807,415</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886,795</w:t>
            </w: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1,040,840</w:t>
            </w:r>
          </w:p>
        </w:tc>
        <w:tc>
          <w:tcPr>
            <w:tcW w:w="1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1,927,635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55,651,487</w:t>
            </w:r>
          </w:p>
        </w:tc>
        <w:tc>
          <w:tcPr>
            <w:tcW w:w="1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Three-Year Average</w:t>
            </w:r>
          </w:p>
        </w:tc>
        <w:tc>
          <w:tcPr>
            <w:tcW w:w="260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969,447</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1,245,055</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2,214,502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56,810,302</w:t>
            </w: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40" w:right="200" w:hanging="424"/>
        <w:spacing w:after="0" w:line="266"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“gross burn rate” as the number of equity awards granted in the year divided by the basic weighted average number of shares of common stock outstanding. For purposes of this calculation, for each year, we counted the number of equity awards subject to any performance-based achievement based on the maximum number of shares of our common stock issuable under such awards.</w:t>
      </w:r>
    </w:p>
    <w:p>
      <w:pPr>
        <w:spacing w:after="0" w:line="203" w:lineRule="exact"/>
        <w:rPr>
          <w:sz w:val="20"/>
          <w:szCs w:val="20"/>
          <w:color w:val="auto"/>
        </w:rPr>
      </w:pPr>
    </w:p>
    <w:p>
      <w:pPr>
        <w:ind w:left="120" w:right="160" w:firstLine="771"/>
        <w:spacing w:after="0" w:line="258" w:lineRule="auto"/>
        <w:rPr>
          <w:sz w:val="20"/>
          <w:szCs w:val="20"/>
          <w:color w:val="auto"/>
        </w:rPr>
      </w:pPr>
      <w:r>
        <w:rPr>
          <w:rFonts w:ascii="Times New Roman" w:cs="Times New Roman" w:eastAsia="Times New Roman" w:hAnsi="Times New Roman"/>
          <w:sz w:val="18"/>
          <w:szCs w:val="18"/>
          <w:color w:val="auto"/>
        </w:rPr>
        <w:t>The proposed share reserve increase supports our continued use of our long-standing equity compensation program, under which our annual gross burn rate has remained relatively the same year over year. Our overhang levels are largely attributable to outstanding historical equity awards, rather than any material changes to ongoing equity practices. As we continue to compete for top talent, maintaining the ability to deliver market-competitive equity awards through new hire and annual grants, as well as retention and promotion awards, remains a critical component of our total rewards strategy.</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utilize the Amended Plan as we have utilized the Current Plan: specifically, to grant equity awards to our</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employees, non-employee directors, consultants, and advisors in order to attract, incentivize, retain and reward those who are critical to our success. The compensation &amp; people committee determined the requested number of shares for the Amended Plan based on our projections for new-hire equity awards, annual equity awards to our employees and non-employee directors, employee retention and promotion awards, as well as an assessment of the magnitude of the share reserve under the Amended Plan that our stockholders would likely find acceptable. If our stockholders approve the 2023 Plan Amendment, subject to adjustment in the event of stock splits and other similar events, awards may be made under the Amended Plan for up to a number of shares of common stock equal to the sum of: (i) 9,000,000 shares of common stock; and (ii) the number of shares of common stock subject to awards granted under our 2013 Stock Incentive Plan (the “2013 Plan”) that were outstanding as of June 13, 2023 (the date that the 2023 Stock Incentive Plan was originally approved by our stockholders) and which awards expire, terminate or are otherwise surrendered, cancelled, forfeited or repurchased by the Company at their original issuance price pursuant to a contractual repurchase right (subject, however, in the case of incentive stock options, to any limitations under the Internal Revenue Code of 1986, as amended, and any regulations thereunder (the “Code”)). If our stockholders approve the 2023 Plan Amendment, subject to adjustment in the event of stock splits and other similar events, up to 9,000,000 of the shares of common stock available for issuance under the Amended Plan can be issued under incentive stock options. The Amended Plan does not include an evergreen provision and includes several features that are consistent with protecting the interests of our stockholders and sound corporate governance practices, as described below.</w:t>
      </w:r>
    </w:p>
    <w:p>
      <w:pPr>
        <w:spacing w:after="0" w:line="232" w:lineRule="exact"/>
        <w:rPr>
          <w:sz w:val="20"/>
          <w:szCs w:val="20"/>
          <w:color w:val="auto"/>
        </w:rPr>
      </w:pPr>
    </w:p>
    <w:p>
      <w:pPr>
        <w:ind w:left="120" w:right="40" w:firstLine="771"/>
        <w:spacing w:after="0" w:line="258" w:lineRule="auto"/>
        <w:rPr>
          <w:sz w:val="20"/>
          <w:szCs w:val="20"/>
          <w:color w:val="auto"/>
        </w:rPr>
      </w:pPr>
      <w:r>
        <w:rPr>
          <w:rFonts w:ascii="Times New Roman" w:cs="Times New Roman" w:eastAsia="Times New Roman" w:hAnsi="Times New Roman"/>
          <w:sz w:val="18"/>
          <w:szCs w:val="18"/>
          <w:color w:val="auto"/>
        </w:rPr>
        <w:t>In March 2025, we relied on the inducement grant exception under Nasdaq Listing Rule 5635(c)(4) to grant nonstatutory stock options, restricted stock units (“RSUs”), and performance stock units (“PSUs”, and collectively, the “Inducement Awards”) to a newly hired executive officer who was eligible under the Nasdaq rules to receive such grants. We relied on the inducement grant exception to make these grants to this officer in order to preserve shares available under the Current Plan to enable us to continue to make market-based, competitive equity grants to our current employees, non-employee directors and consultants who are not eligible to receive such inducement grants.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The following table includes information, as of March 31, 2026, regarding all of our outstanding equity awards under all of our equity-based compensation plans and arrangements under which shares of common stock may be issued. This includes shares subject to outstanding awards under the Current Plan and the 2013 Plan, Inducement Awards, and up to 1,977,151 shares that remain available for the grant of new awards under the Current Plan as of March 31, 2026, but does not include shares issuable under our Amended and Restated 2013 Employee Stock Purchase Plan.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outstanding stock options</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6,646,266</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 of outstanding stock options (years)</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Number of outstanding RSUs (including PSUs)(1)</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3,006,978</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the grant of new awards under the Current Plan</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1,977,151</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New shares requested for approval pursuant to the 2023 Plan Amendment</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198"/>
        </w:trPr>
        <w:tc>
          <w:tcPr>
            <w:tcW w:w="9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total number of shares available for the grant of new awards under all equity-based compensation plans, assuming</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 approval of the 2023 Plan Amendment</w:t>
            </w: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3,977,151</w:t>
            </w: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59,341,338</w:t>
            </w:r>
          </w:p>
        </w:tc>
      </w:tr>
    </w:tbl>
    <w:p>
      <w:pPr>
        <w:spacing w:after="0" w:line="260" w:lineRule="exact"/>
        <w:rPr>
          <w:sz w:val="20"/>
          <w:szCs w:val="20"/>
          <w:color w:val="auto"/>
        </w:rPr>
      </w:pPr>
    </w:p>
    <w:p>
      <w:pPr>
        <w:ind w:left="540" w:right="18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level of payout under our outstanding PSUs is the maximum payout that can be achieved under the PSUs. Accordingly, the number in the table reflects PSUs at both target and the maximum.</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March 31, 2026, there were no outstanding shares of restricted stock, no stock appreciation rights, or any other stock-based awards.</w:t>
      </w:r>
    </w:p>
    <w:p>
      <w:pPr>
        <w:spacing w:after="0" w:line="266" w:lineRule="exact"/>
        <w:rPr>
          <w:sz w:val="20"/>
          <w:szCs w:val="20"/>
          <w:color w:val="auto"/>
        </w:rPr>
      </w:pPr>
    </w:p>
    <w:p>
      <w:pPr>
        <w:jc w:val="both"/>
        <w:ind w:left="120" w:right="360" w:firstLine="771"/>
        <w:spacing w:after="0" w:line="266" w:lineRule="auto"/>
        <w:rPr>
          <w:sz w:val="20"/>
          <w:szCs w:val="20"/>
          <w:color w:val="auto"/>
        </w:rPr>
      </w:pPr>
      <w:r>
        <w:rPr>
          <w:rFonts w:ascii="Times New Roman" w:cs="Times New Roman" w:eastAsia="Times New Roman" w:hAnsi="Times New Roman"/>
          <w:sz w:val="18"/>
          <w:szCs w:val="18"/>
          <w:color w:val="auto"/>
        </w:rPr>
        <w:t>We expect that the proposed share pool under the Amended Plan will allow us to continue to grant equity awards at our historic rates for approximately one year, but the actual duration of the share pool may vary based on changes in participation, the Company’s stock price and market practice.</w:t>
      </w:r>
    </w:p>
    <w:p>
      <w:pPr>
        <w:spacing w:after="0" w:line="216" w:lineRule="exact"/>
        <w:rPr>
          <w:sz w:val="20"/>
          <w:szCs w:val="20"/>
          <w:color w:val="auto"/>
        </w:rPr>
      </w:pPr>
    </w:p>
    <w:p>
      <w:pPr>
        <w:ind w:left="120" w:right="80" w:firstLine="771"/>
        <w:spacing w:after="0" w:line="258" w:lineRule="auto"/>
        <w:rPr>
          <w:sz w:val="20"/>
          <w:szCs w:val="20"/>
          <w:color w:val="auto"/>
        </w:rPr>
      </w:pPr>
      <w:r>
        <w:rPr>
          <w:rFonts w:ascii="Times New Roman" w:cs="Times New Roman" w:eastAsia="Times New Roman" w:hAnsi="Times New Roman"/>
          <w:sz w:val="18"/>
          <w:szCs w:val="18"/>
          <w:color w:val="auto"/>
        </w:rPr>
        <w:t>We believe that our stock-based compensation programs have been integral to our success in the past and will be important to our ability to succeed in the future. If the 2023 Plan Amendment is not approved by our stockholders, we will not be able to make the equity incentive awards needed to meet our hiring and retention needs in a highly competitive market, which could have an adverse impact on our business. Further, if the 2023 Plan Amendment is not approved, we could be forced to increase cash compensation, which will reduce the resources we are able to allocate to meeting our business needs and objectives. Therefore, the approval of the 2023 Plan Amendment is vital to our future success.</w:t>
      </w:r>
    </w:p>
    <w:p>
      <w:pPr>
        <w:spacing w:after="0" w:line="20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Accordingly, our board of directors believes approval of the 2023 Plan Amendment is in the best interests of the Company and its stockholders and recommends a vote “FOR” the approval of the 2023 Plan Amendment.</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below is a discussion of:</w:t>
      </w:r>
    </w:p>
    <w:p>
      <w:pPr>
        <w:spacing w:after="0" w:line="306" w:lineRule="exact"/>
        <w:rPr>
          <w:sz w:val="20"/>
          <w:szCs w:val="20"/>
          <w:color w:val="auto"/>
        </w:rPr>
      </w:pPr>
    </w:p>
    <w:p>
      <w:pPr>
        <w:ind w:left="1540" w:hanging="331"/>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Reasons Why Stockholders Should Approve the 2023 Plan Amendment;</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Highlights of the Amended Plan; and</w:t>
      </w:r>
    </w:p>
    <w:p>
      <w:pPr>
        <w:spacing w:after="0" w:line="30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Amended Plan.</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Why Stockholders Should Approve the 2023 Plan Amendment</w:t>
      </w:r>
    </w:p>
    <w:p>
      <w:pPr>
        <w:spacing w:after="0" w:line="268" w:lineRule="exact"/>
        <w:rPr>
          <w:sz w:val="20"/>
          <w:szCs w:val="20"/>
          <w:color w:val="auto"/>
        </w:rPr>
      </w:pPr>
    </w:p>
    <w:p>
      <w:pPr>
        <w:jc w:val="both"/>
        <w:ind w:left="120" w:right="44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Attracts, Incentivizes, Retains and Motivates Talent</w:t>
      </w:r>
      <w:r>
        <w:rPr>
          <w:rFonts w:ascii="Times New Roman" w:cs="Times New Roman" w:eastAsia="Times New Roman" w:hAnsi="Times New Roman"/>
          <w:sz w:val="18"/>
          <w:szCs w:val="18"/>
          <w:color w:val="auto"/>
        </w:rPr>
        <w:t>.  It is critical to our success that we attract, incentivize, retain and motivate the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talent in what is a tremendously competitive labor market. Our equity-based compensation program has always been and will continue to be a key component in our ability to pay market-competitive compensation to our employees.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Aligns with Our Pay-for-Performance Compensation Philosophy</w:t>
      </w:r>
      <w:r>
        <w:rPr>
          <w:rFonts w:ascii="Times New Roman" w:cs="Times New Roman" w:eastAsia="Times New Roman" w:hAnsi="Times New Roman"/>
          <w:sz w:val="18"/>
          <w:szCs w:val="18"/>
          <w:color w:val="auto"/>
        </w:rPr>
        <w:t>.  We believe that equity-based compensation is inherently performance-based. As the value of our stock appreciates, our employees receive greater compensation at the same time that our stockholders are receiving a greater return on their investment. Conversely, if the stock price does not appreciate following the grant of an equity award, then our employees would not receive any compensation in respect of stock options and would receive lower compensation than intended in respect of RSUs. Further, our board of directors has awarded PSUs to certain employees, which are contingent on meeting pre-defined performance criteria, thereby furthering our commitment to pay-for-performance and alignment with value creation for our stockholders.</w:t>
      </w:r>
    </w:p>
    <w:p>
      <w:pPr>
        <w:spacing w:after="0" w:line="182"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Aligns Employee and Director Interests with Stockholder Interests</w:t>
      </w:r>
      <w:r>
        <w:rPr>
          <w:rFonts w:ascii="Times New Roman" w:cs="Times New Roman" w:eastAsia="Times New Roman" w:hAnsi="Times New Roman"/>
          <w:sz w:val="18"/>
          <w:szCs w:val="18"/>
          <w:color w:val="auto"/>
        </w:rPr>
        <w:t>.  Providing our employees and non-employee directors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 the form of equity directly aligns the interests of those employees and non-employee directors with the interests of our stockholders. If the 2023 Plan Amendment is approved by our stockholders, we will be able to continue granting equity-based incentives that foster this alignment between our employees and non-employee directors and our stockholders.</w:t>
      </w:r>
    </w:p>
    <w:p>
      <w:pPr>
        <w:spacing w:after="0" w:line="180" w:lineRule="exact"/>
        <w:rPr>
          <w:sz w:val="20"/>
          <w:szCs w:val="20"/>
          <w:color w:val="auto"/>
        </w:rPr>
      </w:pPr>
    </w:p>
    <w:p>
      <w:pPr>
        <w:ind w:left="120" w:right="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Consistent with Stockholder Interests and Sound Corporate Governance</w:t>
      </w:r>
      <w:r>
        <w:rPr>
          <w:rFonts w:ascii="Times New Roman" w:cs="Times New Roman" w:eastAsia="Times New Roman" w:hAnsi="Times New Roman"/>
          <w:sz w:val="18"/>
          <w:szCs w:val="18"/>
          <w:color w:val="auto"/>
        </w:rPr>
        <w:t>.  As described under the heading “Highlights of the Amended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thoroughly below, the Amended Plan was purposefully designed to include features that are consistent with the interests of our stockholders and sound corporate governance practices.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Highlights of the Amended Plan</w:t>
      </w:r>
    </w:p>
    <w:p>
      <w:pPr>
        <w:spacing w:after="0" w:line="270" w:lineRule="exact"/>
        <w:rPr>
          <w:sz w:val="20"/>
          <w:szCs w:val="20"/>
          <w:color w:val="auto"/>
        </w:rPr>
      </w:pPr>
    </w:p>
    <w:p>
      <w:pPr>
        <w:ind w:left="120" w:right="60" w:firstLine="771"/>
        <w:spacing w:after="0" w:line="261" w:lineRule="auto"/>
        <w:rPr>
          <w:sz w:val="20"/>
          <w:szCs w:val="20"/>
          <w:color w:val="auto"/>
        </w:rPr>
      </w:pPr>
      <w:r>
        <w:rPr>
          <w:rFonts w:ascii="Times New Roman" w:cs="Times New Roman" w:eastAsia="Times New Roman" w:hAnsi="Times New Roman"/>
          <w:sz w:val="18"/>
          <w:szCs w:val="18"/>
          <w:color w:val="auto"/>
        </w:rPr>
        <w:t>The Amended Plan includes several features that are consistent with protecting the interests of our stockholders and sound corporate governance practices. These features are highlighted below, are not being changed in connection with the 2023 Plan Amendment and are more fully described in the summary of the Amended Plan further below in this proposal as well as in the copy of the Amended Plan and 2023 Plan Amendment in Appendix A and Appendix B, respectively, to this Proxy Statement.</w:t>
      </w:r>
    </w:p>
    <w:p>
      <w:pPr>
        <w:spacing w:after="0" w:line="178" w:lineRule="exact"/>
        <w:rPr>
          <w:sz w:val="20"/>
          <w:szCs w:val="20"/>
          <w:color w:val="auto"/>
        </w:rPr>
      </w:pPr>
    </w:p>
    <w:p>
      <w:pPr>
        <w:ind w:left="120" w:right="36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No Evergreen</w:t>
      </w:r>
      <w:r>
        <w:rPr>
          <w:rFonts w:ascii="Times New Roman" w:cs="Times New Roman" w:eastAsia="Times New Roman" w:hAnsi="Times New Roman"/>
          <w:sz w:val="18"/>
          <w:szCs w:val="18"/>
          <w:color w:val="auto"/>
        </w:rPr>
        <w:t>.  The Amended Plan does not include an “evergreen” or other provision that automatically increases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grant under the plan and therefore any increase to the maximum share reserve in the Amended Plan is subject to approval by our stockholders, allowing our stockholders to have a say in our equity compensation programs.</w:t>
      </w:r>
    </w:p>
    <w:p>
      <w:pPr>
        <w:spacing w:after="0" w:line="173" w:lineRule="exact"/>
        <w:rPr>
          <w:sz w:val="20"/>
          <w:szCs w:val="20"/>
          <w:color w:val="auto"/>
        </w:rPr>
      </w:pPr>
    </w:p>
    <w:p>
      <w:pPr>
        <w:ind w:left="120" w:right="5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Awards to certain officers under the Amended Plan will be subject to clawback in the event that we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 an accounting restatement due to material noncompliance with financial statement requirements.</w:t>
      </w:r>
    </w:p>
    <w:p>
      <w:pPr>
        <w:spacing w:after="0" w:line="158" w:lineRule="exact"/>
        <w:rPr>
          <w:sz w:val="20"/>
          <w:szCs w:val="20"/>
          <w:color w:val="auto"/>
        </w:rPr>
      </w:pPr>
    </w:p>
    <w:p>
      <w:pPr>
        <w:ind w:left="120" w:right="8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No Automatic Vesting of Awards on a Change in Control Event</w:t>
      </w:r>
      <w:r>
        <w:rPr>
          <w:rFonts w:ascii="Times New Roman" w:cs="Times New Roman" w:eastAsia="Times New Roman" w:hAnsi="Times New Roman"/>
          <w:sz w:val="18"/>
          <w:szCs w:val="18"/>
          <w:color w:val="auto"/>
        </w:rPr>
        <w:t>.  The Amended Plan does not provide for the automatic vesting of awards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change in control event.</w:t>
      </w:r>
    </w:p>
    <w:p>
      <w:pPr>
        <w:spacing w:after="0" w:line="158" w:lineRule="exact"/>
        <w:rPr>
          <w:sz w:val="20"/>
          <w:szCs w:val="20"/>
          <w:color w:val="auto"/>
        </w:rPr>
      </w:pPr>
    </w:p>
    <w:p>
      <w:pPr>
        <w:jc w:val="both"/>
        <w:ind w:left="120" w:right="14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No Liberal Share Recycling</w:t>
      </w:r>
      <w:r>
        <w:rPr>
          <w:rFonts w:ascii="Times New Roman" w:cs="Times New Roman" w:eastAsia="Times New Roman" w:hAnsi="Times New Roman"/>
          <w:sz w:val="18"/>
          <w:szCs w:val="18"/>
          <w:color w:val="auto"/>
        </w:rPr>
        <w:t>.  The Amended Plan prohibits the re-granting of (i) shares withheld or delivered to satisfy the exercise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or to satisfy tax withholding obligations, (ii) shares that were subject to a stock appreciation right (“SAR”), and were not issued upon the net settlement or net exercise of such award, or (iii) shares repurchased on the open market using proceeds from the exercise of an award.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No Repricing of Awards.</w:t>
      </w:r>
      <w:r>
        <w:rPr>
          <w:rFonts w:ascii="Times New Roman" w:cs="Times New Roman" w:eastAsia="Times New Roman" w:hAnsi="Times New Roman"/>
          <w:sz w:val="18"/>
          <w:szCs w:val="18"/>
          <w:color w:val="auto"/>
        </w:rPr>
        <w:t xml:space="preserve">   The Amended Plan prohibits the direct or indirect repricing of stock options or SARs without stockholder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approval.</w:t>
      </w:r>
    </w:p>
    <w:p>
      <w:pPr>
        <w:spacing w:after="0" w:line="205" w:lineRule="exact"/>
        <w:rPr>
          <w:sz w:val="20"/>
          <w:szCs w:val="20"/>
          <w:color w:val="auto"/>
        </w:rPr>
      </w:pPr>
    </w:p>
    <w:p>
      <w:pPr>
        <w:ind w:left="120" w:right="1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No Discounted Stock Options or SARs.</w:t>
      </w:r>
      <w:r>
        <w:rPr>
          <w:rFonts w:ascii="Times New Roman" w:cs="Times New Roman" w:eastAsia="Times New Roman" w:hAnsi="Times New Roman"/>
          <w:sz w:val="18"/>
          <w:szCs w:val="18"/>
          <w:color w:val="auto"/>
        </w:rPr>
        <w:t xml:space="preserve">  All stock options and SARs must have an exercise or measurement price that is at least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the underlying common stock on the date of grant.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8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No Reload Stock Options or SARs.</w:t>
      </w:r>
      <w:r>
        <w:rPr>
          <w:rFonts w:ascii="Times New Roman" w:cs="Times New Roman" w:eastAsia="Times New Roman" w:hAnsi="Times New Roman"/>
          <w:sz w:val="18"/>
          <w:szCs w:val="18"/>
          <w:color w:val="auto"/>
        </w:rPr>
        <w:t xml:space="preserve">  No stock options or SARs granted under the Amended Plan may contain a provision entitling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to the automatic grant of additional stock options or SARs in connection with any exercise of the original stock option or SAR.</w:t>
      </w:r>
    </w:p>
    <w:p>
      <w:pPr>
        <w:spacing w:after="0" w:line="158" w:lineRule="exact"/>
        <w:rPr>
          <w:sz w:val="20"/>
          <w:szCs w:val="20"/>
          <w:color w:val="auto"/>
        </w:rPr>
      </w:pPr>
    </w:p>
    <w:p>
      <w:pPr>
        <w:jc w:val="both"/>
        <w:ind w:left="120" w:right="5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No Dividend Equivalents on Stock Options or SARs.</w:t>
      </w:r>
      <w:r>
        <w:rPr>
          <w:rFonts w:ascii="Times New Roman" w:cs="Times New Roman" w:eastAsia="Times New Roman" w:hAnsi="Times New Roman"/>
          <w:sz w:val="18"/>
          <w:szCs w:val="18"/>
          <w:color w:val="auto"/>
        </w:rPr>
        <w:t xml:space="preserve">  No stock options or SARs granted under the Amended Plan may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or accrual of dividend equivalents.</w:t>
      </w:r>
    </w:p>
    <w:p>
      <w:pPr>
        <w:spacing w:after="0" w:line="158" w:lineRule="exact"/>
        <w:rPr>
          <w:sz w:val="20"/>
          <w:szCs w:val="20"/>
          <w:color w:val="auto"/>
        </w:rPr>
      </w:pPr>
    </w:p>
    <w:p>
      <w:pPr>
        <w:jc w:val="both"/>
        <w:ind w:left="120" w:right="50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Dividends and Dividend Equivalents on Restricted Stock, Restricted Stock Units and Other-Stock Based Awards Not Paid Until Award Vests.</w:t>
      </w:r>
      <w:r>
        <w:rPr>
          <w:rFonts w:ascii="Times New Roman" w:cs="Times New Roman" w:eastAsia="Times New Roman" w:hAnsi="Times New Roman"/>
          <w:sz w:val="18"/>
          <w:szCs w:val="18"/>
          <w:color w:val="auto"/>
        </w:rPr>
        <w:t xml:space="preserve">  Any dividends or dividend equivalents paid with respect to restricted stock, RSUs or other stock-based awards will be subject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on transfer and forfeitability as the award with respect to which they are paid.</w:t>
      </w:r>
    </w:p>
    <w:p>
      <w:pPr>
        <w:spacing w:after="0" w:line="173" w:lineRule="exact"/>
        <w:rPr>
          <w:sz w:val="20"/>
          <w:szCs w:val="20"/>
          <w:color w:val="auto"/>
        </w:rPr>
      </w:pPr>
    </w:p>
    <w:p>
      <w:pPr>
        <w:jc w:val="both"/>
        <w:ind w:left="120" w:right="160"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Limit on Non-Employee Director Compensation.</w:t>
      </w:r>
      <w:r>
        <w:rPr>
          <w:rFonts w:ascii="Times New Roman" w:cs="Times New Roman" w:eastAsia="Times New Roman" w:hAnsi="Times New Roman"/>
          <w:sz w:val="18"/>
          <w:szCs w:val="18"/>
          <w:color w:val="auto"/>
        </w:rPr>
        <w:t xml:space="preserve">  The maximum aggregate amount of cash earned or paid and value of awards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grant date fair value for financial reporting purposes) granted to any non-employee director in any calendar year may not exceed $750,000 in the case of an incumbent director. However, such maximum aggregate amount shall not exceed $1,000,000 in any calendar year for any</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individual non-employee director in such non-employee director’s initial year of election or appointment. Exceptions to these limitations may only be made by our board of directors in extraordinary circumstances provided that the non-employee director receiving any additional compensation does not participate in the decision to award such compensation.</w:t>
      </w:r>
    </w:p>
    <w:p>
      <w:pPr>
        <w:spacing w:after="0" w:line="184" w:lineRule="exact"/>
        <w:rPr>
          <w:sz w:val="20"/>
          <w:szCs w:val="20"/>
          <w:color w:val="auto"/>
        </w:rPr>
      </w:pPr>
    </w:p>
    <w:p>
      <w:pPr>
        <w:ind w:left="120" w:right="160" w:firstLine="771"/>
        <w:spacing w:after="0" w:line="290" w:lineRule="auto"/>
        <w:rPr>
          <w:sz w:val="20"/>
          <w:szCs w:val="20"/>
          <w:color w:val="auto"/>
        </w:rPr>
      </w:pPr>
      <w:r>
        <w:rPr>
          <w:rFonts w:ascii="Times New Roman" w:cs="Times New Roman" w:eastAsia="Times New Roman" w:hAnsi="Times New Roman"/>
          <w:sz w:val="17"/>
          <w:szCs w:val="17"/>
          <w:i w:val="1"/>
          <w:iCs w:val="1"/>
          <w:color w:val="auto"/>
        </w:rPr>
        <w:t>Material Amendments Require Stockholder Approval</w:t>
      </w:r>
      <w:r>
        <w:rPr>
          <w:rFonts w:ascii="Times New Roman" w:cs="Times New Roman" w:eastAsia="Times New Roman" w:hAnsi="Times New Roman"/>
          <w:sz w:val="17"/>
          <w:szCs w:val="17"/>
          <w:color w:val="auto"/>
        </w:rPr>
        <w:t>.  Stockholder approval is required prior to an amendment of the Amended Plan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(i) materially increase the number of shares authorized (other than as provided under the Amended Plan with respect to certain corporate events or substitute awards), (ii) expand the types of awards that may be granted, or (iii) materially expand the class of participants eligible to participate.</w:t>
      </w:r>
    </w:p>
    <w:p>
      <w:pPr>
        <w:spacing w:after="0" w:line="155" w:lineRule="exact"/>
        <w:rPr>
          <w:sz w:val="20"/>
          <w:szCs w:val="20"/>
          <w:color w:val="auto"/>
        </w:rPr>
      </w:pPr>
    </w:p>
    <w:p>
      <w:pPr>
        <w:ind w:left="120" w:right="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Administered by an Independent Committee</w:t>
      </w:r>
      <w:r>
        <w:rPr>
          <w:rFonts w:ascii="Times New Roman" w:cs="Times New Roman" w:eastAsia="Times New Roman" w:hAnsi="Times New Roman"/>
          <w:sz w:val="18"/>
          <w:szCs w:val="18"/>
          <w:color w:val="auto"/>
        </w:rPr>
        <w:t>.  The Amended Plan is administered by the compensation &amp; people committee, as delegated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The compensation &amp; people committee is made up entirely of independent directors.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70" w:lineRule="exact"/>
        <w:rPr>
          <w:sz w:val="20"/>
          <w:szCs w:val="20"/>
          <w:color w:val="auto"/>
        </w:rPr>
      </w:pPr>
    </w:p>
    <w:p>
      <w:pPr>
        <w:ind w:left="120" w:right="200" w:firstLine="771"/>
        <w:spacing w:after="0" w:line="282" w:lineRule="auto"/>
        <w:rPr>
          <w:sz w:val="20"/>
          <w:szCs w:val="20"/>
          <w:color w:val="auto"/>
        </w:rPr>
      </w:pPr>
      <w:r>
        <w:rPr>
          <w:rFonts w:ascii="Times New Roman" w:cs="Times New Roman" w:eastAsia="Times New Roman" w:hAnsi="Times New Roman"/>
          <w:sz w:val="18"/>
          <w:szCs w:val="18"/>
          <w:color w:val="auto"/>
        </w:rPr>
        <w:t>For more information on our equity compensation plans, please see the section titled “Executive Compensation—Securities Authorized for Issuance Under Our Equity Compensation Plans—Equity Compensation Plan Information” contained elsewhere in this Proxy Statement.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Amended Plan</w:t>
      </w:r>
    </w:p>
    <w:p>
      <w:pPr>
        <w:spacing w:after="0" w:line="256" w:lineRule="exact"/>
        <w:rPr>
          <w:sz w:val="20"/>
          <w:szCs w:val="20"/>
          <w:color w:val="auto"/>
        </w:rPr>
      </w:pPr>
    </w:p>
    <w:p>
      <w:pPr>
        <w:ind w:left="120" w:right="100" w:firstLine="771"/>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the Amended Plan, a copy of which is attached as Appendix A to this Proxy Statement. Please note that the following summary describes the Amended Plan as it is proposed to be amended by the 2023 Plan Amendment, as opposed to the Current Plan. As noted above, the 2023 Plan Amendment amends the Current Plan solely to increase the number of shares available for the issuance of awards, and the number of shares that may be issued subject to incentive stock options.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References to our board of directors in this summary shall include the compensation &amp; people committee or any similar committee</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or sub-committee or the Delegated Persons (as defined below) to the extent that our board of directors’ powers or authority under the Amended Plan have been delegated to such committee or Delegated Persons, in accordance with the Amended Plan.</w:t>
      </w:r>
    </w:p>
    <w:p>
      <w:pPr>
        <w:spacing w:after="0" w:line="181" w:lineRule="exact"/>
        <w:rPr>
          <w:sz w:val="20"/>
          <w:szCs w:val="20"/>
          <w:color w:val="auto"/>
        </w:rPr>
      </w:pPr>
    </w:p>
    <w:p>
      <w:pPr>
        <w:ind w:left="120" w:firstLine="771"/>
        <w:spacing w:after="0" w:line="282" w:lineRule="auto"/>
        <w:rPr>
          <w:sz w:val="20"/>
          <w:szCs w:val="20"/>
          <w:color w:val="auto"/>
        </w:rPr>
      </w:pPr>
      <w:r>
        <w:rPr>
          <w:rFonts w:ascii="Times New Roman" w:cs="Times New Roman" w:eastAsia="Times New Roman" w:hAnsi="Times New Roman"/>
          <w:sz w:val="18"/>
          <w:szCs w:val="18"/>
          <w:color w:val="auto"/>
        </w:rPr>
        <w:t>For purposes of this proposal and except where the context otherwise requires, the term “Company” and similar terms shall include any of the Company’s present or future parent or subsidiary corporations as defined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Sections 424(e) or (f) of the Code and any other business venture (including, without limitation, joint venture or limited liability company) in which the Company has a controlling interest, as determined by our board of directors.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Shares Available for Awards; Share Counting Rules</w:t>
      </w:r>
    </w:p>
    <w:p>
      <w:pPr>
        <w:spacing w:after="0" w:line="270" w:lineRule="exact"/>
        <w:rPr>
          <w:sz w:val="20"/>
          <w:szCs w:val="20"/>
          <w:color w:val="auto"/>
        </w:rPr>
      </w:pPr>
    </w:p>
    <w:p>
      <w:pPr>
        <w:ind w:left="120" w:right="280" w:firstLine="771"/>
        <w:spacing w:after="0" w:line="266" w:lineRule="auto"/>
        <w:rPr>
          <w:sz w:val="20"/>
          <w:szCs w:val="20"/>
          <w:color w:val="auto"/>
        </w:rPr>
      </w:pPr>
      <w:r>
        <w:rPr>
          <w:rFonts w:ascii="Times New Roman" w:cs="Times New Roman" w:eastAsia="Times New Roman" w:hAnsi="Times New Roman"/>
          <w:sz w:val="18"/>
          <w:szCs w:val="18"/>
          <w:color w:val="auto"/>
        </w:rPr>
        <w:t>The Amended Plan provides for the grant of incentive stock options intended to qualify under Section 422 of the Code, nonstatutory stock options, SARs, restricted stock, RSUs, other stock-based awards, and cash awards as described below, which we refer to, collectively, as awards or Awards.</w:t>
      </w:r>
    </w:p>
    <w:p>
      <w:pPr>
        <w:spacing w:after="0" w:line="176"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color w:val="auto"/>
        </w:rPr>
        <w:t>Subject to adjustment in the event of stock splits, stock dividends and other similar events, awards may be made under the Amended Plan for up to a number of shares of common stock equal to the sum of: (i) 9,000,000 shares of our common stock; and (ii) the number of shares of common stock subject to awards granted under the 2013 Plan that were outstanding as of June 13, 2023 (the date the 2023 Stock Incentive Plan was originally approved by our stockholders) which awards expire, terminate or are otherwise surrendered, cancelled, forfeited or repurchased by the Company at their original issuance price pursuant to a contractual repurchase right (subject, however, in the case of incentive stock options to any limitations under the Code). Subject to adjustment in the event of a stock split, stock dividend and other similar events, no more than 9,000,000 shares of common stock may be issued under incentive stock options pursuant to the Amended Plan. Shares of common stock issued under the Amended Plan may consist in whole or in part of authorized but unissued shares or treasury shares.</w:t>
      </w:r>
    </w:p>
    <w:p>
      <w:pPr>
        <w:spacing w:after="0" w:line="192" w:lineRule="exact"/>
        <w:rPr>
          <w:sz w:val="20"/>
          <w:szCs w:val="20"/>
          <w:color w:val="auto"/>
        </w:rPr>
      </w:pPr>
    </w:p>
    <w:p>
      <w:pPr>
        <w:ind w:left="120" w:right="200" w:firstLine="771"/>
        <w:spacing w:after="0" w:line="257" w:lineRule="auto"/>
        <w:rPr>
          <w:sz w:val="20"/>
          <w:szCs w:val="20"/>
          <w:color w:val="auto"/>
        </w:rPr>
      </w:pPr>
      <w:r>
        <w:rPr>
          <w:rFonts w:ascii="Times New Roman" w:cs="Times New Roman" w:eastAsia="Times New Roman" w:hAnsi="Times New Roman"/>
          <w:sz w:val="18"/>
          <w:szCs w:val="18"/>
          <w:color w:val="auto"/>
        </w:rPr>
        <w:t>The Amended Plan provides that the maximum aggregate amount of cash and value of awards (calculated based on grant date fair value for financial reporting purposes) granted to any individual non-employee director in any calendar year may not exceed $750,000 in the case of an incumbent director. However, such maximum aggregate amount shall not exceed $1,000,000 in any calendar year for any</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individual non-employee director in such non-employee director’s initial year of election or appointment. Moreover, fees paid by the Company on behalf of any non-employee director in connection with regulatory compliance and any amounts paid to a non-employee director as reimbursement of an expense will not count against this limit. Exceptions to this limitation may only be made by our board of directors in extraordinary circumstances provided that any non-employee director receiving additional compensation does not participate in the decision to award such compensation. This limitation does not apply to cash or awards granted to a non-employee director in his or her capacity as an advisor or consultant to the Company.</w:t>
      </w:r>
    </w:p>
    <w:p>
      <w:pPr>
        <w:spacing w:after="0" w:line="187"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For purposes of counting the number of shares available for the grant of awards under the Amended Plan, all shares of common stock covered by SARs shall be counted against the number of shares available for the grant of awards under the Amended Plan. However, SARs that may be settled only in cash will not be so counted. Similarly, to the extent that an RSU award may be settled only in cash, no shares will be counted against the shares available for the grant of awards under the Amended Plan. In addition, if we grant a SAR in tandem with a stock option for the same number of shares of our common stock and provide that only one such award may be exercised, referred to as a tandem SAR, only the shares covered by the stock option, and not the shares covered by the tandem SAR, will be so counted, and the expiration of one in connection with the other’s exercise will not restore shares to the Amended Plan.</w:t>
      </w:r>
    </w:p>
    <w:p>
      <w:pPr>
        <w:spacing w:after="0" w:line="18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Shares covered by awards under the Amended Plan that expire or are terminated, surrendered, or cancelled without having been fully exercised or are forfeited in whole or in part (including as the result of shares subject to such award being repurchased by us at the original issuance price pursuant to a contractual repurchase right) or that result in any shares not being issued (including as a result of an award being settled in cash rather than stock) will again be available for the grant of awards under the Amended Plan (subject, in the case of incentive stock options, to any limitations under the Code). In the case of the exercise of a SAR, the number of shares counted against the shares available for the grant of awards under the Amended Plan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771"/>
        <w:spacing w:after="0" w:line="258" w:lineRule="auto"/>
        <w:rPr>
          <w:sz w:val="20"/>
          <w:szCs w:val="20"/>
          <w:color w:val="auto"/>
        </w:rPr>
      </w:pPr>
      <w:r>
        <w:rPr>
          <w:rFonts w:ascii="Times New Roman" w:cs="Times New Roman" w:eastAsia="Times New Roman" w:hAnsi="Times New Roman"/>
          <w:sz w:val="18"/>
          <w:szCs w:val="18"/>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Amended Plan. Shares repurchased by us on the open market using proceeds from the exercise of an award will not increase the number of shares available for future grant of awards under the Amended Plan.</w:t>
      </w:r>
    </w:p>
    <w:p>
      <w:pPr>
        <w:spacing w:after="0" w:line="183"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color w:val="auto"/>
        </w:rPr>
        <w:t>In connection with a merger or consolidation of an entity with us or our acquisition of property or stock of an entity, our board of directors may grant awards under the Amended Plan in substitution for any stock options or other stock or stock-based awards granted by such entity or an affiliate thereof on such terms as our board of directors determines appropriate in the circumstances, notwithstanding any limitation on awards contained in the Amended Plan. No such substitute awards shall count against the overall share limit contained in the Amended Plan, except as required by reason of Section 422 and related provisions of the Code.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Descriptions of Awards</w:t>
      </w:r>
    </w:p>
    <w:p>
      <w:pPr>
        <w:spacing w:after="0" w:line="268"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participant who is awarded a stock option receives the right to purchase a specified number of shares of common stock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specified exercise price and subject to the other terms and conditions that are specified in connection with the award agreement. A stock option that is not intended to be an “incentive stock option” is a “nonstatutory stock option.” Stock options may not be granted at an exercise price that is less than 100% of the fair market value of our common stock on the date of grant. If our board of directors approves the grant of a stock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participants who hold more than 10% of the total combined voting power of all classes of our stock or any of our subsidiaries. Under the terms of the Amended Plan, stock options may not be granted for a term in excess of ten years (and, under present law, five years in the case of incentive stock options granted to participants who hold greater than 10% of the total combined voting power of all classes of our stock or any of our subsidiaries).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Amended Plan permits participants to pay the exercise price of stock options using one or more of the following manners of payment:</w:t>
      </w:r>
    </w:p>
    <w:p>
      <w:pPr>
        <w:spacing w:after="0" w:line="27" w:lineRule="exact"/>
        <w:rPr>
          <w:sz w:val="20"/>
          <w:szCs w:val="20"/>
          <w:color w:val="auto"/>
        </w:rPr>
      </w:pPr>
    </w:p>
    <w:p>
      <w:pPr>
        <w:ind w:left="120" w:right="60" w:hanging="4"/>
        <w:spacing w:after="0" w:line="251" w:lineRule="auto"/>
        <w:tabs>
          <w:tab w:leader="none" w:pos="3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cash or by check, (ii) except as may otherwise be provided in the applicable award agreement or approved by our board of directors, in connection with a “cashless exercise” through a broker, (iii) to the extent provided in the applicable award agreement or approved by our board of directors, and subject to certain conditions, by delivery to us (either by actual delivery or attestation) of shares of common stock owned by the participant valued at their fair market value, (iv) to the extent provided in an applicable nonstatutory stock option award agreement or approved by our board of directors, by delivery of a notice of “net exercise” as a result of which we will retain a number of shares of common stock otherwise issuable pursuant to the stock option equal to the aggregate exercise price for the portion of the stock option being exercised divided by the fair market value of our common stock on the date of exercise, (v) to the extent permitted by applicable law and provided for in the applicable award agreement or approved by our board of directors, by any other lawful means (but not by a promissory note of the participant), or (vi) by any combination of these forms of payment. No stock option granted under the Amended Plan may contain a provision entitling the participant to the automatic grant of additional stock options in connection with any exercise of the original stock option. No stock options granted under the Amended Plan may provide for the payment or accrual of dividend equivalents.</w:t>
      </w:r>
    </w:p>
    <w:p>
      <w:pPr>
        <w:spacing w:after="0" w:line="190" w:lineRule="exact"/>
        <w:rPr>
          <w:sz w:val="20"/>
          <w:szCs w:val="20"/>
          <w:color w:val="auto"/>
        </w:rPr>
      </w:pPr>
    </w:p>
    <w:p>
      <w:pPr>
        <w:jc w:val="both"/>
        <w:ind w:left="120" w:right="140" w:firstLine="771"/>
        <w:spacing w:after="0" w:line="290"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 participant who is awarded a SAR receives, upon exercise, a number of shares of our common stock, or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 combination of shares of our common stock and cash) determined by reference to appreciation, from and after the date of grant, in the fair market value of a share of our common stock over the measurement price. The Amended Plan provides that the measurement price of a SAR may not be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less than 100% of the fair market value of our common stock on the date the SAR is granted (provided, however, that if our board of directors approves the grant of a SAR effective as of a future date, the measurement price shall not be less than 100% of the fair market value on such future date) and that SARs may not be granted with a term in excess of 10 years. No SARs granted under the Amended Plan may contain a provision entitling the participant to the automatic grant of additional SARs in connection with any exercise of the original SAR. No SARs granted under the Amended Plan may provide for the payment or accrual of dividend equivalents.</w:t>
      </w:r>
    </w:p>
    <w:p>
      <w:pPr>
        <w:spacing w:after="0" w:line="181" w:lineRule="exact"/>
        <w:rPr>
          <w:sz w:val="20"/>
          <w:szCs w:val="20"/>
          <w:color w:val="auto"/>
        </w:rPr>
      </w:pPr>
    </w:p>
    <w:p>
      <w:pPr>
        <w:ind w:left="120" w:right="60" w:firstLine="771"/>
        <w:spacing w:after="0" w:line="253" w:lineRule="auto"/>
        <w:rPr>
          <w:sz w:val="20"/>
          <w:szCs w:val="20"/>
          <w:color w:val="auto"/>
        </w:rPr>
      </w:pPr>
      <w:r>
        <w:rPr>
          <w:rFonts w:ascii="Times New Roman" w:cs="Times New Roman" w:eastAsia="Times New Roman" w:hAnsi="Times New Roman"/>
          <w:sz w:val="18"/>
          <w:szCs w:val="18"/>
          <w:i w:val="1"/>
          <w:iCs w:val="1"/>
          <w:color w:val="auto"/>
        </w:rPr>
        <w:t>Limitation on Repricing of Stock Options or SARs.</w:t>
      </w:r>
      <w:r>
        <w:rPr>
          <w:rFonts w:ascii="Times New Roman" w:cs="Times New Roman" w:eastAsia="Times New Roman" w:hAnsi="Times New Roman"/>
          <w:sz w:val="18"/>
          <w:szCs w:val="18"/>
          <w:color w:val="auto"/>
        </w:rPr>
        <w:t xml:space="preserve">  Unless such action is approved by our stockholders or otherwise permitted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Amended Plan in connection with certain changes in capitalization and reorganization events, we may not (i) amend any outstanding stock option or SAR granted under the Amended Plan to provide an exercise price or measurement price per share that is lower than the then-current exercise price or measurement price per share of such outstanding stock option or SAR, (ii) cancel any outstanding stock option or SAR (whether or not granted under the Amended Plan) and grant in substitution therefor new awards under the Amended Plan (other than certain substitute awards issued in connection with a merger or consolidation of an entity with us or an acquisition by us, described above) covering the same or a different number of shares of our common stock and having an exercise price or measurement price per share lower than the then-current exercise price or measurement price per share of the cancelled stock option or SAR, (iii) cancel in exchange for a cash payment any outstanding stock option or SAR with an exercise price or measurement price per share above the then-current fair market value of our common stock, or (iv) take any other action under the Amended Plan that constitutes a “repricing” within the meaning of the rules of the Nasdaq Stock Market or any other exchange or marketplace on which the Company’s stock is listed or traded.</w:t>
      </w:r>
    </w:p>
    <w:p>
      <w:pPr>
        <w:spacing w:after="0" w:line="192" w:lineRule="exact"/>
        <w:rPr>
          <w:sz w:val="20"/>
          <w:szCs w:val="20"/>
          <w:color w:val="auto"/>
        </w:rPr>
      </w:pPr>
    </w:p>
    <w:p>
      <w:pPr>
        <w:ind w:left="120" w:right="2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xml:space="preserve">  A participant who is granted a restricted stock award is entitled to acquire shares of our common stock,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No interest will be paid on unvested dividends.</w:t>
      </w:r>
    </w:p>
    <w:p>
      <w:pPr>
        <w:spacing w:after="0" w:line="182"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xml:space="preserve">  A participant who is granted an RSU award is entitled to receive shares of our common stock, or cash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fair market value of such shares or a combination thereof, in the event that the conditions specified in the applicable award are satisfied, with such shares to be delivered at the time such award vests or on a deferred basis pursuant to the terms and conditions established by our board of directors. Our board of directors may provide that settlement of RSUs will be deferred, on a mandatory basis or at the election of the participant, in a manner that complies with Section 409A of the Code. A participant has no voting rights with respect to any RSU. An RSU award agreement may provide the applicable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 No interest will be paid on dividend equivalents.</w:t>
      </w:r>
    </w:p>
    <w:p>
      <w:pPr>
        <w:spacing w:after="0" w:line="188"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xml:space="preserve">  Under the Amended Plan, our board of directors may grant other awards of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that are valued in whole or in part by reference to, or are otherwise based on, shares of our common stock or other property, having such terms and conditions as our board of directors may determine. We refer to these types of awards as other stock-based awards. Other stock-based awards may be available as a form of payment in settlement of other awards granted under the Amended Plan or as payment in lieu of compensation to which a participant is otherwise entitled. Other stock-based awards may be paid in shares of our common stock or in cash, as our board of directors may determine. The award agreement of an other stock-based award may provide the participant who receives such award with the right to receive dividend equivalents. Dividend equivalents may be settled in cash and/or shares of our common stock</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82"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and will be subject to the same restrictions on transfer and forfeitability as the other stock-based award with respect to which they are awarded. No interest will be paid on dividend equivalents.</w:t>
      </w:r>
    </w:p>
    <w:p>
      <w:pPr>
        <w:spacing w:after="0" w:line="160" w:lineRule="exact"/>
        <w:rPr>
          <w:sz w:val="20"/>
          <w:szCs w:val="20"/>
          <w:color w:val="auto"/>
        </w:rPr>
      </w:pPr>
    </w:p>
    <w:p>
      <w:pPr>
        <w:ind w:left="120" w:right="64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xml:space="preserve">  Under the Amended Plan, our board of directors has the right to grant cash-based awards including awards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conditions.</w:t>
      </w:r>
    </w:p>
    <w:p>
      <w:pPr>
        <w:spacing w:after="0" w:line="158"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7"/>
          <w:szCs w:val="17"/>
          <w:i w:val="1"/>
          <w:iCs w:val="1"/>
          <w:color w:val="auto"/>
        </w:rPr>
        <w:t>Performance Conditions.</w:t>
      </w:r>
      <w:r>
        <w:rPr>
          <w:rFonts w:ascii="Times New Roman" w:cs="Times New Roman" w:eastAsia="Times New Roman" w:hAnsi="Times New Roman"/>
          <w:sz w:val="17"/>
          <w:szCs w:val="17"/>
          <w:color w:val="auto"/>
        </w:rPr>
        <w:t xml:space="preserve">  Awards under the Amended Plan may be made subject to the achievement of performance goals.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may specify that the degree of granting, vesting, expiration and/or payout of any award subject to performance-based vesting conditions will be subject to the achievement of one or more of the following performance measures established by our board of directors, which may be based on the relative or absolute attainment of specified levels of one or any combination of the following measures (and which may be determined pursuant to generally accepted accounting principles, or GAAP, or on a non-GAAP basis, as determined by our board of directors):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 (iii) 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business, technologies and assets; (vi) new product or service releases; (vii) the achievement of qualitative or quantitative performance measures set forth in operating plans approved by our board of directors from time to time; (viii)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or stock price; (xii) other comparable measures of financial and operational performance;</w:t>
      </w:r>
    </w:p>
    <w:p>
      <w:pPr>
        <w:spacing w:after="0" w:line="8" w:lineRule="exact"/>
        <w:rPr>
          <w:sz w:val="20"/>
          <w:szCs w:val="20"/>
          <w:color w:val="auto"/>
        </w:rPr>
      </w:pPr>
    </w:p>
    <w:p>
      <w:pPr>
        <w:ind w:left="120" w:right="20" w:hanging="4"/>
        <w:spacing w:after="0" w:line="250" w:lineRule="auto"/>
        <w:tabs>
          <w:tab w:leader="none" w:pos="5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environmental, social, or governance objectives; and/or (xiv) any other measure selected by our board of directors.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Our board of directors may specify that such performance measures will be adjusted to exclude any one or more of: (a) extraordinary items; (b) gains or losses on the dispositions of discontinued operations; (c) the cumulative effects of changes in accounting 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w:t>
      </w:r>
    </w:p>
    <w:p>
      <w:pPr>
        <w:spacing w:after="0" w:line="2"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non-cash asset impairment charges; (k) gains on extinguishment of the tax receivable agreement; and (l) any other factors as our board of directors may determine. Such performance measures: (A) may vary by participant and may be different for different awards; (B) may be particular to a participant or the department, branch, line of business, subsidiary or other unit in which the participant works and (C) may cover such period as may be specified by our board of directors. Our board of directors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Our board of directors may adjust the number of shares payable pursuant to a performance award, and our board of directors may, at any time, waive the achievement of the applicable performance measures. Notwithstanding its designation as a performance award, no stock option or SAR will provide for the payment or accrual of dividend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equivalents, any dividends declared and paid by the Company with respect to shares of restricted stock will be subject to the same dividend rules for restricted stock awards not designated as a performance award and any right to receive dividend equivalents on an award of RSUs and other stock-based awards will be subject to the same dividend equivalent rules for such awards that are not designated as a performance award.</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to Receive Awards</w:t>
      </w:r>
    </w:p>
    <w:p>
      <w:pPr>
        <w:spacing w:after="0" w:line="270"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All of our employees, officers, and directors, as well as our consultants and advisors, are eligible to receive awards under the Amended Plan. However, incentive stock options may only be granted to our employees, employees of our present or future parent or subsidiary corporations as defined in Sections 424(e) or (f) of the Code, and employees of any other entities the employees of which are eligible to receive incentive stock options under the Code.</w:t>
      </w:r>
    </w:p>
    <w:p>
      <w:pPr>
        <w:spacing w:after="0" w:line="180" w:lineRule="exact"/>
        <w:rPr>
          <w:sz w:val="20"/>
          <w:szCs w:val="20"/>
          <w:color w:val="auto"/>
        </w:rPr>
      </w:pPr>
    </w:p>
    <w:p>
      <w:pPr>
        <w:ind w:left="120" w:right="120" w:firstLine="771"/>
        <w:spacing w:after="0" w:line="282" w:lineRule="auto"/>
        <w:rPr>
          <w:sz w:val="20"/>
          <w:szCs w:val="20"/>
          <w:color w:val="auto"/>
        </w:rPr>
      </w:pPr>
      <w:r>
        <w:rPr>
          <w:rFonts w:ascii="Times New Roman" w:cs="Times New Roman" w:eastAsia="Times New Roman" w:hAnsi="Times New Roman"/>
          <w:sz w:val="18"/>
          <w:szCs w:val="18"/>
          <w:color w:val="auto"/>
        </w:rPr>
        <w:t>As of March 31, 2026, approximately 571 persons were eligible to receive awards under the Amended Plan, including six executive officers (who are current employees), 519 employees (excluding executive officers), nine non-employee directors, 37 consultants and no advisors.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March 31, 2026, the last reported sale price of our common stock on the Nasdaq Global Select Stock Market was $33.83.</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256" w:lineRule="exact"/>
        <w:rPr>
          <w:sz w:val="20"/>
          <w:szCs w:val="20"/>
          <w:color w:val="auto"/>
        </w:rPr>
      </w:pPr>
    </w:p>
    <w:p>
      <w:pPr>
        <w:ind w:left="120" w:right="80" w:firstLine="771"/>
        <w:spacing w:after="0" w:line="253" w:lineRule="auto"/>
        <w:rPr>
          <w:sz w:val="20"/>
          <w:szCs w:val="20"/>
          <w:color w:val="auto"/>
        </w:rPr>
      </w:pPr>
      <w:r>
        <w:rPr>
          <w:rFonts w:ascii="Times New Roman" w:cs="Times New Roman" w:eastAsia="Times New Roman" w:hAnsi="Times New Roman"/>
          <w:sz w:val="18"/>
          <w:szCs w:val="18"/>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and incentive stock options, our board of directors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such permitted transfer until such time as the permitted transferee has,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Rights as a Stockholder</w:t>
      </w:r>
    </w:p>
    <w:p>
      <w:pPr>
        <w:spacing w:after="0" w:line="256" w:lineRule="exact"/>
        <w:rPr>
          <w:sz w:val="20"/>
          <w:szCs w:val="20"/>
          <w:color w:val="auto"/>
        </w:rPr>
      </w:pPr>
    </w:p>
    <w:p>
      <w:pPr>
        <w:ind w:left="120" w:right="160" w:firstLine="771"/>
        <w:spacing w:after="0" w:line="282" w:lineRule="auto"/>
        <w:rPr>
          <w:sz w:val="20"/>
          <w:szCs w:val="20"/>
          <w:color w:val="auto"/>
        </w:rPr>
      </w:pPr>
      <w:r>
        <w:rPr>
          <w:rFonts w:ascii="Times New Roman" w:cs="Times New Roman" w:eastAsia="Times New Roman" w:hAnsi="Times New Roman"/>
          <w:sz w:val="18"/>
          <w:szCs w:val="18"/>
          <w:color w:val="auto"/>
        </w:rPr>
        <w:t>No participant or designated beneficiary shall have any rights as a stockholder with respect to any shares of common stock to be distributed with respect to an award granted under the Amended Plan until becoming a record holder of such shares, subject to the terms of an award agreement.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70" w:lineRule="exact"/>
        <w:rPr>
          <w:sz w:val="20"/>
          <w:szCs w:val="20"/>
          <w:color w:val="auto"/>
        </w:rPr>
      </w:pPr>
    </w:p>
    <w:p>
      <w:pPr>
        <w:ind w:left="120" w:right="220" w:firstLine="771"/>
        <w:spacing w:after="0" w:line="282" w:lineRule="auto"/>
        <w:rPr>
          <w:sz w:val="20"/>
          <w:szCs w:val="20"/>
          <w:color w:val="auto"/>
        </w:rPr>
      </w:pPr>
      <w:r>
        <w:rPr>
          <w:rFonts w:ascii="Times New Roman" w:cs="Times New Roman" w:eastAsia="Times New Roman" w:hAnsi="Times New Roman"/>
          <w:sz w:val="18"/>
          <w:szCs w:val="18"/>
          <w:color w:val="auto"/>
        </w:rPr>
        <w:t>In accepting an award under the Amended Plan, a participant agrees to be bound by any clawback policy that the Company has in effect or may adopt in the future, including without limitation our Dodd-Frank Compensation Recovery Policy.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82"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 Granted under the Current Plan</w:t>
      </w:r>
    </w:p>
    <w:p>
      <w:pPr>
        <w:spacing w:after="0" w:line="256" w:lineRule="exact"/>
        <w:rPr>
          <w:sz w:val="20"/>
          <w:szCs w:val="20"/>
          <w:color w:val="auto"/>
        </w:rPr>
      </w:pPr>
    </w:p>
    <w:p>
      <w:pPr>
        <w:ind w:left="120" w:right="500" w:firstLine="77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about equity-based awards granted under the Current Plan since adoption of the Current Plan through March 31, 2026, to the individuals and groups described in the below table.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380" w:type="dxa"/>
            <w:vAlign w:val="bottom"/>
            <w:vMerge w:val="restart"/>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4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 Option</w:t>
            </w: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380" w:type="dxa"/>
            <w:vAlign w:val="bottom"/>
          </w:tcPr>
          <w:p>
            <w:pPr>
              <w:jc w:val="center"/>
              <w:ind w:left="354"/>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RSUs Granted</w:t>
            </w:r>
          </w:p>
        </w:tc>
        <w:tc>
          <w:tcPr>
            <w:tcW w:w="2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Underlying PSUs Granted (1)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Goff, Chief Executive Officer</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512,000</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141,000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Cecilia Jones, Chief Financial Officer</w:t>
            </w:r>
          </w:p>
        </w:tc>
        <w:tc>
          <w:tcPr>
            <w:tcW w:w="2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155,500</w:t>
            </w:r>
          </w:p>
        </w:tc>
        <w:tc>
          <w:tcPr>
            <w:tcW w:w="2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58,910</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Burns, Chief Legal Officer</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155,500</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54,759</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Sarah Gheuens, M.D., Ph.D., Chief</w:t>
            </w: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Officer, Head of Research and</w:t>
            </w:r>
          </w:p>
        </w:tc>
        <w:tc>
          <w:tcPr>
            <w:tcW w:w="2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155,500</w:t>
            </w:r>
          </w:p>
        </w:tc>
        <w:tc>
          <w:tcPr>
            <w:tcW w:w="2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90,124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Krishnan Viswanadhan, Pharm.D., Chief</w:t>
            </w:r>
          </w:p>
        </w:tc>
        <w:tc>
          <w:tcPr>
            <w:tcW w:w="25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Development &amp; Strategy</w:t>
            </w:r>
          </w:p>
        </w:tc>
        <w:tc>
          <w:tcPr>
            <w:tcW w:w="2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52,000</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14,000</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1,186,000</w:t>
            </w:r>
          </w:p>
        </w:tc>
        <w:tc>
          <w:tcPr>
            <w:tcW w:w="2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431,822</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who are not</w:t>
            </w:r>
          </w:p>
        </w:tc>
        <w:tc>
          <w:tcPr>
            <w:tcW w:w="25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423,831</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76,015</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2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Each associate of any of such directors,</w:t>
            </w:r>
          </w:p>
        </w:tc>
        <w:tc>
          <w:tcPr>
            <w:tcW w:w="25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officers or nominees</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 other person who received or is to</w:t>
            </w: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receive 5 percent or more of such</w:t>
            </w:r>
          </w:p>
        </w:tc>
        <w:tc>
          <w:tcPr>
            <w:tcW w:w="2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warrants or rights</w:t>
            </w:r>
          </w:p>
        </w:tc>
        <w:tc>
          <w:tcPr>
            <w:tcW w:w="2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 current</w:t>
            </w:r>
          </w:p>
        </w:tc>
        <w:tc>
          <w:tcPr>
            <w:tcW w:w="254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 who are not executive officers,</w:t>
            </w:r>
          </w:p>
        </w:tc>
        <w:tc>
          <w:tcPr>
            <w:tcW w:w="25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w:t>
            </w:r>
          </w:p>
        </w:tc>
        <w:tc>
          <w:tcPr>
            <w:tcW w:w="25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1,305,738</w:t>
            </w:r>
          </w:p>
        </w:tc>
        <w:tc>
          <w:tcPr>
            <w:tcW w:w="2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3,088,636</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maximum level of achievement under PSUs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2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granting of awards under the Amended Plan is discretionary, and we cannot now determine the number or type of awards to be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 in the future to any particular person or group, other than as set forth below. We are obligated to grant each of our non-employee directors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$630,000 in equity awards upon initial election to our board of directors (consisting of approximately 75% in stock options and 25% in RSUs, based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 date fair value), and $400,000 in equity awards immediately following each annual meeting thereafter, including the Annual Meeting (consisting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approximately 75% in stock options and 25% in RSUs, based on grant date fair value), under the terms of our Non-Employee Director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Policy.</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0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36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26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36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Stock Underlying Stock Option Awards</w:t>
            </w:r>
          </w:p>
        </w:tc>
        <w:tc>
          <w:tcPr>
            <w:tcW w:w="26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Stock Underlying RSU Awards</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Brian Goff, Chief Executive</w:t>
            </w:r>
          </w:p>
        </w:tc>
        <w:tc>
          <w:tcPr>
            <w:tcW w:w="20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Cecilia Jones, Chief Financial</w:t>
            </w:r>
          </w:p>
        </w:tc>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Burns, Chief Legal</w:t>
            </w:r>
          </w:p>
        </w:tc>
        <w:tc>
          <w:tcPr>
            <w:tcW w:w="20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Sarah Gheuens, M.D., Ph.D.,</w:t>
            </w:r>
          </w:p>
        </w:tc>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Medical Officer, Head</w:t>
            </w:r>
          </w:p>
        </w:tc>
        <w:tc>
          <w:tcPr>
            <w:tcW w:w="20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Research and</w:t>
            </w:r>
          </w:p>
        </w:tc>
        <w:tc>
          <w:tcPr>
            <w:tcW w:w="20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0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Krishnan Viswanadhan,</w:t>
            </w:r>
          </w:p>
        </w:tc>
        <w:tc>
          <w:tcPr>
            <w:tcW w:w="20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Pharm.D., Chief Corporate</w:t>
            </w:r>
          </w:p>
        </w:tc>
        <w:tc>
          <w:tcPr>
            <w:tcW w:w="20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&amp; Strategy</w:t>
            </w:r>
          </w:p>
        </w:tc>
        <w:tc>
          <w:tcPr>
            <w:tcW w:w="20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0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executive officers as</w:t>
            </w:r>
          </w:p>
        </w:tc>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group</w:t>
            </w:r>
          </w:p>
        </w:tc>
        <w:tc>
          <w:tcPr>
            <w:tcW w:w="20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who are</w:t>
            </w:r>
          </w:p>
        </w:tc>
        <w:tc>
          <w:tcPr>
            <w:tcW w:w="200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 executive officers as a</w:t>
            </w:r>
          </w:p>
        </w:tc>
        <w:tc>
          <w:tcPr>
            <w:tcW w:w="20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20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$3,600,000(1)</w:t>
            </w:r>
          </w:p>
        </w:tc>
        <w:tc>
          <w:tcPr>
            <w:tcW w:w="36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employees, including all</w:t>
            </w:r>
          </w:p>
        </w:tc>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officers who are not</w:t>
            </w:r>
          </w:p>
        </w:tc>
        <w:tc>
          <w:tcPr>
            <w:tcW w:w="20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20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40" w:right="160" w:hanging="424"/>
        <w:spacing w:after="0" w:line="253"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dollar value of annual equity awards to be granted in 2026 to each then-serving non-employee director. Under our Non-Employee Director Compensation Policy, each non-employee director who is serving on our board of directors immediately following our annual meeting of stockholders will receive $400,000 in equity awards on the date of such meeting (consisting of approximately 75% in stock options and 25% in RSUs, based on grant date fair value). The amount set forth in the Dollar Value column above equals $400,000 multiplied by the nine current non-employee directors (including the two non-employee directors who are standing for election at the Annual Meeting, which election is more fully described in Proposal 1 of this Proxy Statement). The amount excludes (i) any equity awards that</w:t>
      </w:r>
    </w:p>
    <w:p>
      <w:pPr>
        <w:spacing w:after="0" w:line="5" w:lineRule="exact"/>
        <w:rPr>
          <w:rFonts w:ascii="Times New Roman" w:cs="Times New Roman" w:eastAsia="Times New Roman" w:hAnsi="Times New Roman"/>
          <w:sz w:val="18"/>
          <w:szCs w:val="18"/>
          <w:color w:val="auto"/>
        </w:rPr>
      </w:pPr>
    </w:p>
    <w:p>
      <w:pPr>
        <w:ind w:left="54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directors will be entitled to receive under our Non-Employee Director Compensation Policy for subsequent years following 2026 and (ii) any discretionary equity awards that any non-employee director may be awarded under the Amended Plan.</w:t>
      </w:r>
    </w:p>
    <w:p>
      <w:pPr>
        <w:spacing w:after="0" w:line="262"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underlying the stock option and RSU awards to be made to non-employee directors in 2026 (as more fully described in footnote (1) above) is not determinable at this time as such awards will be determined based on the grant date fair value.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56" w:lineRule="exact"/>
        <w:rPr>
          <w:sz w:val="20"/>
          <w:szCs w:val="20"/>
          <w:color w:val="auto"/>
        </w:rPr>
      </w:pPr>
    </w:p>
    <w:p>
      <w:pPr>
        <w:ind w:left="120" w:right="100" w:firstLine="771"/>
        <w:spacing w:after="0" w:line="256" w:lineRule="auto"/>
        <w:rPr>
          <w:sz w:val="20"/>
          <w:szCs w:val="20"/>
          <w:color w:val="auto"/>
        </w:rPr>
      </w:pPr>
      <w:r>
        <w:rPr>
          <w:rFonts w:ascii="Times New Roman" w:cs="Times New Roman" w:eastAsia="Times New Roman" w:hAnsi="Times New Roman"/>
          <w:sz w:val="18"/>
          <w:szCs w:val="18"/>
          <w:color w:val="auto"/>
        </w:rPr>
        <w:t>The Amended Plan will be administered by our board of directors. Our board of directors has the authority to grant awards and to adopt, amend and repeal the administrative rules, guidelines and practices relating to the Amended Plan that it deems advisable and to construe and interpret the provisions of the Amended Plan and any award agreements entered into under the Amended Plan. Our board of directors may correct any defect, supply any omission or reconcile any inconsistency in the Amended Plan or any award. All actions and decisions by our board of directors with respect to the Amended Plan and any awards made under the Amended Plan will be made in our board of directors’ discretion and will be final and binding on all persons having or claiming any interest in the Amended Plan or in any award.</w:t>
      </w:r>
    </w:p>
    <w:p>
      <w:pPr>
        <w:spacing w:after="0" w:line="187"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Pursuant to the terms of the Amended Plan, our board of directors may delegate any or all of its powers under the Amended Plan to one or more committees or subcommittees of our board of directors. Our board of directors has authorized the compensation &amp; people committee to administer the Amended Plan. Awards granted to non-employee directors must be granted and administered by a committee of our board of directors, all of the members of which are independent directors as defined by Section 5605(a)(2) of the rules of the Nasdaq Stock Market.</w:t>
      </w:r>
    </w:p>
    <w:p>
      <w:pPr>
        <w:spacing w:after="0" w:line="180" w:lineRule="exact"/>
        <w:rPr>
          <w:sz w:val="20"/>
          <w:szCs w:val="20"/>
          <w:color w:val="auto"/>
        </w:rPr>
      </w:pPr>
    </w:p>
    <w:p>
      <w:pPr>
        <w:ind w:left="120" w:firstLine="771"/>
        <w:spacing w:after="0" w:line="271" w:lineRule="auto"/>
        <w:rPr>
          <w:sz w:val="20"/>
          <w:szCs w:val="20"/>
          <w:color w:val="auto"/>
        </w:rPr>
      </w:pPr>
      <w:r>
        <w:rPr>
          <w:rFonts w:ascii="Times New Roman" w:cs="Times New Roman" w:eastAsia="Times New Roman" w:hAnsi="Times New Roman"/>
          <w:sz w:val="17"/>
          <w:szCs w:val="17"/>
          <w:color w:val="auto"/>
        </w:rPr>
        <w:t>Subject to any requirements of applicable law, our board of directors may, by resolution, delegate to one or more persons (including officers) or bodies (such persons or bodies, the “Delegated Persons”) the power to grant awards (subject to any limitations under the Amended Plan) to eligible service providers of the Company and to exercise such other powers under the Amended Plan as our board of directors may determine, provided that our board of directors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to be received by the Company or its subsidiaries for which such awards may be issued, and a minimum amount of consideration for the shares issuable upon exercise thereof; and provided further that (I) no Delegated Person shall be authorized to grant awards to itself, and (II) no Delegated Person shall be authorized to grant awards to any “executive officer” (as defined by Rule 3b-7 under the Securities Exchange Act of 1934, as amended (the “Exchange Act”)), or to any “officer” (as defined by Rule 16a-1(f) under the Exchange Act).</w:t>
      </w:r>
    </w:p>
    <w:p>
      <w:pPr>
        <w:spacing w:after="0" w:line="173" w:lineRule="exact"/>
        <w:rPr>
          <w:sz w:val="20"/>
          <w:szCs w:val="20"/>
          <w:color w:val="auto"/>
        </w:rPr>
      </w:pPr>
    </w:p>
    <w:p>
      <w:pPr>
        <w:ind w:left="120" w:right="60" w:firstLine="771"/>
        <w:spacing w:after="0" w:line="258" w:lineRule="auto"/>
        <w:rPr>
          <w:sz w:val="20"/>
          <w:szCs w:val="20"/>
          <w:color w:val="auto"/>
        </w:rPr>
      </w:pPr>
      <w:r>
        <w:rPr>
          <w:rFonts w:ascii="Times New Roman" w:cs="Times New Roman" w:eastAsia="Times New Roman" w:hAnsi="Times New Roman"/>
          <w:sz w:val="18"/>
          <w:szCs w:val="18"/>
          <w:color w:val="auto"/>
        </w:rPr>
        <w:t>Subject to applicable limitations contained in the Amended Plan, our board of directors, the compensation &amp; people committee, or any other committee or subcommittee or Delegated Person to whom our board of directors has delegated authority pursuant to the Amended Plan,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83" w:lineRule="exact"/>
        <w:rPr>
          <w:sz w:val="20"/>
          <w:szCs w:val="20"/>
          <w:color w:val="auto"/>
        </w:rPr>
      </w:pPr>
    </w:p>
    <w:p>
      <w:pPr>
        <w:ind w:left="120" w:right="120" w:firstLine="771"/>
        <w:spacing w:after="0" w:line="277" w:lineRule="auto"/>
        <w:rPr>
          <w:sz w:val="20"/>
          <w:szCs w:val="20"/>
          <w:color w:val="auto"/>
        </w:rPr>
      </w:pPr>
      <w:r>
        <w:rPr>
          <w:rFonts w:ascii="Times New Roman" w:cs="Times New Roman" w:eastAsia="Times New Roman" w:hAnsi="Times New Roman"/>
          <w:sz w:val="17"/>
          <w:szCs w:val="17"/>
          <w:color w:val="auto"/>
        </w:rPr>
        <w:t>Except as otherwise provided in the Amended Plan, each award under the Amended Plan may be made alone or in addition or in relation to any other award. The terms of each award need not be identical, and our board of directors need not treat participants uniformly. Our board of directors will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w:t>
      </w:r>
    </w:p>
    <w:p>
      <w:pPr>
        <w:spacing w:after="0" w:line="168" w:lineRule="exact"/>
        <w:rPr>
          <w:sz w:val="20"/>
          <w:szCs w:val="20"/>
          <w:color w:val="auto"/>
        </w:rPr>
      </w:pPr>
    </w:p>
    <w:p>
      <w:pPr>
        <w:ind w:left="120" w:right="180" w:firstLine="771"/>
        <w:spacing w:after="0" w:line="282" w:lineRule="auto"/>
        <w:rPr>
          <w:sz w:val="20"/>
          <w:szCs w:val="20"/>
          <w:color w:val="auto"/>
        </w:rPr>
      </w:pPr>
      <w:r>
        <w:rPr>
          <w:rFonts w:ascii="Times New Roman" w:cs="Times New Roman" w:eastAsia="Times New Roman" w:hAnsi="Times New Roman"/>
          <w:sz w:val="18"/>
          <w:szCs w:val="18"/>
          <w:color w:val="auto"/>
        </w:rPr>
        <w:t>Our board of directors may at any time provide that any award shall become immediately exercisable in whole or in part, free from some or all restrictions or conditions or otherwise realizable in whole or in part, as the case may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w:t>
      </w:r>
    </w:p>
    <w:p>
      <w:pPr>
        <w:spacing w:after="0" w:line="27"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of directors, to (i) the number and class of securities available under the Amended Plan and the number and class of securities that may be granted as incentive stock options under the Amended Plan, (ii) the share counting rules set forth in the Amended Plan, (iii) the number and class of securities and exercise price per share of each outstanding stock option, (iv) the share and per share provisions and measurement price of each outstanding SAR,</w:t>
      </w:r>
    </w:p>
    <w:p>
      <w:pPr>
        <w:spacing w:after="0" w:line="1" w:lineRule="exact"/>
        <w:rPr>
          <w:sz w:val="20"/>
          <w:szCs w:val="20"/>
          <w:color w:val="auto"/>
        </w:rPr>
      </w:pPr>
    </w:p>
    <w:p>
      <w:pPr>
        <w:ind w:left="120" w:right="40" w:hanging="4"/>
        <w:spacing w:after="0" w:line="252"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and the repurchase price per share subject to each outstanding award of restricted stock, and (vi) the share and per share related provisions and the purchase price, if any, of each outstanding RSU and each other stock-based award. In the event we effect a split of our common stock by means of a stock dividend and the exercise price of and the number of shares subject to an outstanding stock option are adjusted as of the date of the distribution of the dividend (rather than as of the record date for such dividend), then a participant who exercises a stock option between the record date and the distribution date for such stock dividend shall be entitled to receive, on the distribution date, the stock dividend with respect to the shares of common stock acquired upon such stock option exercise, notwithstanding the fact that such shares were not outstanding as of the close of business on the record date for such stock dividend.</w:t>
      </w:r>
    </w:p>
    <w:p>
      <w:pPr>
        <w:spacing w:after="0" w:line="188" w:lineRule="exact"/>
        <w:rPr>
          <w:sz w:val="20"/>
          <w:szCs w:val="20"/>
          <w:color w:val="auto"/>
        </w:rPr>
      </w:pPr>
    </w:p>
    <w:p>
      <w:pPr>
        <w:jc w:val="both"/>
        <w:ind w:left="120" w:right="20" w:firstLine="771"/>
        <w:spacing w:after="0" w:line="261" w:lineRule="auto"/>
        <w:rPr>
          <w:sz w:val="20"/>
          <w:szCs w:val="20"/>
          <w:color w:val="auto"/>
        </w:rPr>
      </w:pPr>
      <w:r>
        <w:rPr>
          <w:rFonts w:ascii="Times New Roman" w:cs="Times New Roman" w:eastAsia="Times New Roman" w:hAnsi="Times New Roman"/>
          <w:sz w:val="18"/>
          <w:szCs w:val="18"/>
          <w:color w:val="auto"/>
        </w:rPr>
        <w:t>We will indemnify and hold harmless each director, officer, employee or agent to whom any duty or power relating to the administration or interpretation of the Amended Plan has been or will be delegated against any cost or expense (including attorneys’ fees) or liability (including any sum paid in settlement of a claim with our board of directors’ approval) arising out of any act or omission to act concerning the Amended Plan unless arising out of such person’s own fraud or bad faith.</w:t>
      </w:r>
    </w:p>
    <w:p>
      <w:pPr>
        <w:spacing w:after="0" w:line="178" w:lineRule="exact"/>
        <w:rPr>
          <w:sz w:val="20"/>
          <w:szCs w:val="20"/>
          <w:color w:val="auto"/>
        </w:rPr>
      </w:pPr>
    </w:p>
    <w:p>
      <w:pPr>
        <w:ind w:left="12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Amendment of Awards</w:t>
      </w:r>
      <w:r>
        <w:rPr>
          <w:rFonts w:ascii="Times New Roman" w:cs="Times New Roman" w:eastAsia="Times New Roman" w:hAnsi="Times New Roman"/>
          <w:sz w:val="18"/>
          <w:szCs w:val="18"/>
          <w:color w:val="auto"/>
        </w:rPr>
        <w:t>.  Except as otherwise provided under the Amended Plan with respect to repricing outstanding stock options or SARs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respect to actions requiring stockholder approval, our board of directors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of directors determines that the action, taking into account any related action, does not materially and adversely affect the participant’s rights under the Amended Plan or the change is otherwise permitted under the terms of the Amended Plan in connection with certain corporate events.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Events</w:t>
      </w:r>
    </w:p>
    <w:p>
      <w:pPr>
        <w:spacing w:after="0" w:line="270" w:lineRule="exact"/>
        <w:rPr>
          <w:sz w:val="20"/>
          <w:szCs w:val="20"/>
          <w:color w:val="auto"/>
        </w:rPr>
      </w:pPr>
    </w:p>
    <w:p>
      <w:pPr>
        <w:ind w:left="120" w:right="40" w:firstLine="771"/>
        <w:spacing w:after="0" w:line="261" w:lineRule="auto"/>
        <w:rPr>
          <w:sz w:val="20"/>
          <w:szCs w:val="20"/>
          <w:color w:val="auto"/>
        </w:rPr>
      </w:pPr>
      <w:r>
        <w:rPr>
          <w:rFonts w:ascii="Times New Roman" w:cs="Times New Roman" w:eastAsia="Times New Roman" w:hAnsi="Times New Roman"/>
          <w:sz w:val="18"/>
          <w:szCs w:val="18"/>
          <w:color w:val="auto"/>
        </w:rPr>
        <w:t>The Amended Plan contains provisions addressing the consequences of any reorganization event. A reorganization event is defined under the Amended Plan as (i) any merger or consolidation of us with or into another entity as a result of which all of our common stock is converted into or exchanged for the right to receive cash, securities or other property, or is cancelled, (ii) any transfer or disposition of all of our common stock for cash, securities or other property pursuant to a share exchange or other transaction or (iii) our liquidation or dissolution.</w:t>
      </w:r>
    </w:p>
    <w:p>
      <w:pPr>
        <w:spacing w:after="0" w:line="178" w:lineRule="exact"/>
        <w:rPr>
          <w:sz w:val="20"/>
          <w:szCs w:val="20"/>
          <w:color w:val="auto"/>
        </w:rPr>
      </w:pPr>
    </w:p>
    <w:p>
      <w:pPr>
        <w:ind w:left="120" w:right="60" w:firstLine="771"/>
        <w:spacing w:after="0" w:line="256" w:lineRule="auto"/>
        <w:rPr>
          <w:sz w:val="20"/>
          <w:szCs w:val="20"/>
          <w:color w:val="auto"/>
        </w:rPr>
      </w:pPr>
      <w:r>
        <w:rPr>
          <w:rFonts w:ascii="Times New Roman" w:cs="Times New Roman" w:eastAsia="Times New Roman" w:hAnsi="Times New Roman"/>
          <w:sz w:val="18"/>
          <w:szCs w:val="18"/>
          <w:i w:val="1"/>
          <w:iCs w:val="1"/>
          <w:color w:val="auto"/>
        </w:rPr>
        <w:t>Provisions Applicable to Awards Other than Restricted Stock</w:t>
      </w:r>
      <w:r>
        <w:rPr>
          <w:rFonts w:ascii="Times New Roman" w:cs="Times New Roman" w:eastAsia="Times New Roman" w:hAnsi="Times New Roman"/>
          <w:sz w:val="18"/>
          <w:szCs w:val="18"/>
          <w:color w:val="auto"/>
        </w:rPr>
        <w:t>.  Under the Amended Plan, if a reorganization event occurs,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take any one or more of the following actions as to all or any (or any portion of) outstanding awards other than restricted stock on such terms as our board of directors determines (except to the extent specifically provided otherwise in an applicable award agreement or another agreement between a participant and us):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before the reorganization event and/or that all of the participant’s unexercised awards will terminate immediately prior to the consummation of such reorganization event unless exercised by the participant (to the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82"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our common stock will receive upon consummation thereof a cash payment for each share surrendered in the reorganization event, which we refer to as the Acquisition Price, make or provide for a cash payment to participants with respect to each award held by a participant equal to (I) the number of shares of our common stock subject to the vested portion of the award (after giving effect to any acceleration of vesting that occurs upon or immediately prior to such reorganization event) multiplied by (II) the excess, if any, of (A) the Acquisition Price over (B) the exercise, measurement or purchase price of such award and any applicable tax withholdings, in exchange for the termination of such award, provided, that if the Acquisition Price per share (as determined by our board of directors) does not exceed the exercise price of the award, then the award will be cancelled without any payment of consideration, (v) provide that, in connection with our liquidation or dissolution, awards shall convert into the right to receive liquidation proceeds (if applicable, net of the exercise, measurement or purchase price thereof and any applicable tax withholdings) and (vi) any combination of the foregoing.</w:t>
      </w:r>
    </w:p>
    <w:p>
      <w:pPr>
        <w:spacing w:after="0" w:line="192" w:lineRule="exact"/>
        <w:rPr>
          <w:sz w:val="20"/>
          <w:szCs w:val="20"/>
          <w:color w:val="auto"/>
        </w:rPr>
      </w:pPr>
    </w:p>
    <w:p>
      <w:pPr>
        <w:jc w:val="both"/>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Our board of directors is not obligated to treat all awards, all awards held by a participant, or all awards of the same type, identically. Certain RSU awards that are subject to Section 409A of the Code will be settled in accordance with the terms of the applicable award agreement or as otherwise specified in the Amended Plan. Our board of directors, with reasonable notice to participants holding stock options or SARs, may impose a limitation on the ability of these participants to exercise their awards for the minimum number of days prior to the closing of the reorganization event as is reasonably necessary to facilitate the orderly closing of the reorganization event.</w:t>
      </w:r>
    </w:p>
    <w:p>
      <w:pPr>
        <w:spacing w:after="0" w:line="181" w:lineRule="exact"/>
        <w:rPr>
          <w:sz w:val="20"/>
          <w:szCs w:val="20"/>
          <w:color w:val="auto"/>
        </w:rPr>
      </w:pPr>
    </w:p>
    <w:p>
      <w:pPr>
        <w:ind w:left="120" w:firstLine="771"/>
        <w:spacing w:after="0" w:line="254" w:lineRule="auto"/>
        <w:rPr>
          <w:sz w:val="20"/>
          <w:szCs w:val="20"/>
          <w:color w:val="auto"/>
        </w:rPr>
      </w:pPr>
      <w:r>
        <w:rPr>
          <w:rFonts w:ascii="Times New Roman" w:cs="Times New Roman" w:eastAsia="Times New Roman" w:hAnsi="Times New Roman"/>
          <w:sz w:val="18"/>
          <w:szCs w:val="18"/>
          <w:i w:val="1"/>
          <w:iCs w:val="1"/>
          <w:color w:val="auto"/>
        </w:rPr>
        <w:t>Provisions Applicable to Restricted Stock</w:t>
      </w:r>
      <w:r>
        <w:rPr>
          <w:rFonts w:ascii="Times New Roman" w:cs="Times New Roman" w:eastAsia="Times New Roman" w:hAnsi="Times New Roman"/>
          <w:sz w:val="18"/>
          <w:szCs w:val="18"/>
          <w:color w:val="auto"/>
        </w:rPr>
        <w:t>.  Upon the occurrence of a reorganization event other than our liquidation or dissolution,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and other rights with respect to outstanding restricted stock will inure to the benefit of our successor and will, unless our board of directors determines otherwise, apply to the cash, securities or other property which our common stock was converted into or exchanged for pursuant to such reorganization event in the same manner and to the same extent as they applied to such restricted stock. However, our board of directors may either provide for termination or deemed satisfaction of such repurchase or other rights under the instrument evidencing any restricted stock or any other agreement between a participant and us, either initially or by amendment or provide for forfeiture of such restricted stock if issued at no cost. Upon the occurrence of a reorganization event involving our liquidation or dissolution, except to the extent specifically provided to the contrary in the instrument evidencing any award of restricted stock or any other agreement between the participant and us, all restrictions and conditions on all restricted stock then outstanding shall automatically be deemed terminated or satisfied.</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for Foreign Participants</w:t>
      </w:r>
    </w:p>
    <w:p>
      <w:pPr>
        <w:spacing w:after="0" w:line="270" w:lineRule="exact"/>
        <w:rPr>
          <w:sz w:val="20"/>
          <w:szCs w:val="20"/>
          <w:color w:val="auto"/>
        </w:rPr>
      </w:pPr>
    </w:p>
    <w:p>
      <w:pPr>
        <w:ind w:left="120" w:right="20" w:firstLine="771"/>
        <w:spacing w:after="0" w:line="258" w:lineRule="auto"/>
        <w:rPr>
          <w:sz w:val="20"/>
          <w:szCs w:val="20"/>
          <w:color w:val="auto"/>
        </w:rPr>
      </w:pPr>
      <w:r>
        <w:rPr>
          <w:rFonts w:ascii="Times New Roman" w:cs="Times New Roman" w:eastAsia="Times New Roman" w:hAnsi="Times New Roman"/>
          <w:sz w:val="18"/>
          <w:szCs w:val="18"/>
          <w:color w:val="auto"/>
        </w:rPr>
        <w:t>Our board of directors may establish one or more sub-plans under the Amended Plan to satisfy applicable securities, tax or other laws of various jurisdictions. Our board of directors will establish such sub-plans by adopting supplements to the Amended Plan containing any limitations on our board of directors’ discretion under the Amended Plan and any additional terms and conditions not otherwise inconsistent with the Amended Plan as our board of directors deems necessary or desirable. All supplements adopted by our board of directors will be deemed to be part of the Amended Plan, but each supplement will only apply to participants within the affected jurisdiction.</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256" w:lineRule="exact"/>
        <w:rPr>
          <w:sz w:val="20"/>
          <w:szCs w:val="20"/>
          <w:color w:val="auto"/>
        </w:rPr>
      </w:pPr>
    </w:p>
    <w:p>
      <w:pPr>
        <w:jc w:val="both"/>
        <w:ind w:left="120" w:right="200" w:firstLine="771"/>
        <w:spacing w:after="0" w:line="266" w:lineRule="auto"/>
        <w:rPr>
          <w:sz w:val="20"/>
          <w:szCs w:val="20"/>
          <w:color w:val="auto"/>
        </w:rPr>
      </w:pPr>
      <w:r>
        <w:rPr>
          <w:rFonts w:ascii="Times New Roman" w:cs="Times New Roman" w:eastAsia="Times New Roman" w:hAnsi="Times New Roman"/>
          <w:sz w:val="18"/>
          <w:szCs w:val="18"/>
          <w:color w:val="auto"/>
        </w:rPr>
        <w:t>The participant must satisfy all applicable federal, state, and local or other income and employment tax withholding obligations before we will deliver stock certificates or otherwise recognize ownership of common stock under an award. We may elect to satisfy the withholding obligations through additional withholding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salary or wages. If we elect not to or cannot withhold from other compensation, the participant must pay us the full amount, if any, required for withholding or have a broker tender to us cash equal to the withholding obligations. Payment of withholding obligations is due before we will issue any shares on exercise, vesting or release from forfeiture of an award or at the same time as payment of the exercise or purchase price, unless we determine otherwise. If provided for in an award or approved by our board of directors, a participant may satisfy the tax obligations in whole or in part by delivery (either by actual delivery or attestation) of shares of common stock, including shares retained from the award creating the tax obligation, valued at their fair market value. However, except as otherwise provided by our board of directors, the total tax withholding where stock is being used to satisfy such tax obligations cannot exceed our minimum statutory withholding obligations (based on minimum statutory withholding rates for federal and state tax purposes, including payroll taxes, that are applicable to such supplemental taxable income), except that, to the extent that we are able to retain shares of common stock having a fair market value that exceeds the statutory minimum applicable withholding tax without financial accounting implications or we are withholding in a jurisdiction that does not have a statutory minimum withholding tax, we may retain such number of shares (up to the number of shares having a fair market value equal to the maximum individual statutory rate of tax) as we shall determine to be necessary to satisfy the tax liability associated with any award. Shares used to satisfy tax withholding requirements cannot be subject to any repurchase, forfeiture, unfulfilled vesting or other similar requirements.</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w:t>
      </w:r>
    </w:p>
    <w:p>
      <w:pPr>
        <w:spacing w:after="0" w:line="270" w:lineRule="exact"/>
        <w:rPr>
          <w:sz w:val="20"/>
          <w:szCs w:val="20"/>
          <w:color w:val="auto"/>
        </w:rPr>
      </w:pPr>
    </w:p>
    <w:p>
      <w:pPr>
        <w:ind w:left="120" w:right="20" w:firstLine="771"/>
        <w:spacing w:after="0" w:line="253" w:lineRule="auto"/>
        <w:rPr>
          <w:sz w:val="20"/>
          <w:szCs w:val="20"/>
          <w:color w:val="auto"/>
        </w:rPr>
      </w:pPr>
      <w:r>
        <w:rPr>
          <w:rFonts w:ascii="Times New Roman" w:cs="Times New Roman" w:eastAsia="Times New Roman" w:hAnsi="Times New Roman"/>
          <w:sz w:val="18"/>
          <w:szCs w:val="18"/>
          <w:color w:val="auto"/>
        </w:rPr>
        <w:t>No award may be granted under the Amended Plan after June 13, 2033, but awards previously granted may extend beyond that date. Our board of directors may amend, suspend or terminate the Amended Plan or any portion of the Amended Plan at any time, except that (i) no amendment may be made to the plan to permit a stock option or SAR to be repriced without stockholder approval and (ii) no amendment that would require stockholder approval under the rules of the national securities exchange on which we maintain our primary listing may be made effective unless and until such amendment has been approved by our stockholders. If the national securities exchange on which we maintain our primary listing does not have rules regarding when stockholder approval of amendments to equity compensation plans is required (or if our common stock is not then listed on any national securities exchange), no amendment of the Amended Plan materially increasing the number of shares authorized under the plan (other than as provided under the Amended Plan with respect to certain corporate events or substitute awards), expanding the types of awards that may be granted under the plan or materially expanding the class of participants eligible to participate in the plan will be effective unless and until our stockholders approve such amendment. If at any time the approval of our stockholders is required as to any other modification or amendment under Section 422 of the Code or any successor provision with respect to incentive stock options, our board of directors may not effect such modification or amendment without such approval.</w:t>
      </w:r>
    </w:p>
    <w:p>
      <w:pPr>
        <w:spacing w:after="0" w:line="190"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amendment, any amendment to the Amended Plan adopted in accordance with the procedures described above will apply to, and be binding on the holders of, all awards outstanding under the Amended Plan at the time the amendment is adopted, provided that our board of directors determines that such amendment, taking into account any related action, does not materially and adversely affect the rights of participants under the Amended Plan. No award will be made that is conditioned on stockholder approval of any amendment to the Amended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of such stockholder approval.</w:t>
      </w:r>
    </w:p>
    <w:p>
      <w:pPr>
        <w:spacing w:after="0" w:line="189"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If stockholders do not approve the 2023 Plan Amendment, the 2023 Plan Amendment will not go into effect and we will not grant additional awards under the Current Plan in excess of the current share reserve. In this event, our board of directors will consider whether to adopt alternative arrangements based on its assessment of our needs.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60"/>
          </w:cols>
          <w:pgMar w:left="320" w:top="482"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256" w:lineRule="exact"/>
        <w:rPr>
          <w:sz w:val="20"/>
          <w:szCs w:val="20"/>
          <w:color w:val="auto"/>
        </w:rPr>
      </w:pPr>
    </w:p>
    <w:p>
      <w:pPr>
        <w:ind w:left="120" w:right="340" w:firstLine="771"/>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178" w:lineRule="exact"/>
        <w:rPr>
          <w:sz w:val="20"/>
          <w:szCs w:val="20"/>
          <w:color w:val="auto"/>
        </w:rPr>
      </w:pPr>
    </w:p>
    <w:p>
      <w:pPr>
        <w:ind w:left="120" w:right="80"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will not have income upon the grant of an incentive stock option. Also, except as described below,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will not 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 stock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85" w:lineRule="exact"/>
        <w:rPr>
          <w:sz w:val="20"/>
          <w:szCs w:val="20"/>
          <w:color w:val="auto"/>
        </w:rPr>
      </w:pPr>
    </w:p>
    <w:p>
      <w:pPr>
        <w:ind w:left="120" w:firstLine="771"/>
        <w:spacing w:after="0" w:line="255" w:lineRule="auto"/>
        <w:rPr>
          <w:sz w:val="20"/>
          <w:szCs w:val="20"/>
          <w:color w:val="auto"/>
        </w:rPr>
      </w:pPr>
      <w:r>
        <w:rPr>
          <w:rFonts w:ascii="Times New Roman" w:cs="Times New Roman" w:eastAsia="Times New Roman" w:hAnsi="Times New Roman"/>
          <w:sz w:val="18"/>
          <w:szCs w:val="18"/>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87" w:lineRule="exact"/>
        <w:rPr>
          <w:sz w:val="20"/>
          <w:szCs w:val="20"/>
          <w:color w:val="auto"/>
        </w:rPr>
      </w:pPr>
    </w:p>
    <w:p>
      <w:pPr>
        <w:ind w:left="120" w:right="40"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xml:space="preserve">  A participant will not have income upon the grant of a nonstatutory stock option. A participant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income upon the exercise of a nonstatutory stock option equal to the value of the stock on the day the participant exercised the stock option less the exercise price. 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 short-term.</w:t>
      </w:r>
    </w:p>
    <w:p>
      <w:pPr>
        <w:spacing w:after="0" w:line="183"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xml:space="preserve">  A participant will not have income upon the grant of a SAR. A participant generally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80"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xml:space="preserve">  A participant will not have income upon the grant of restricted stock unless an election under Section 83(b)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is made 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xml:space="preserve">  A participant will not have income upon the grant of an RSU. A participant is not permitted to make a Section 83(b)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with 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83" w:lineRule="exact"/>
        <w:rPr>
          <w:sz w:val="20"/>
          <w:szCs w:val="20"/>
          <w:color w:val="auto"/>
        </w:rPr>
      </w:pPr>
    </w:p>
    <w:p>
      <w:pPr>
        <w:jc w:val="both"/>
        <w:ind w:left="120" w:right="2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xml:space="preserve">  The tax consequences associated with any other stock-based award will vary depending on the specific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80" w:lineRule="exact"/>
        <w:rPr>
          <w:sz w:val="20"/>
          <w:szCs w:val="20"/>
          <w:color w:val="auto"/>
        </w:rPr>
      </w:pPr>
    </w:p>
    <w:p>
      <w:pPr>
        <w:ind w:left="120" w:right="5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Tax Consequences to the Company.</w:t>
      </w:r>
      <w:r>
        <w:rPr>
          <w:rFonts w:ascii="Times New Roman" w:cs="Times New Roman" w:eastAsia="Times New Roman" w:hAnsi="Times New Roman"/>
          <w:sz w:val="18"/>
          <w:szCs w:val="18"/>
          <w:color w:val="auto"/>
        </w:rPr>
        <w:t xml:space="preserve">  There will be no tax consequences to the Company except that the Company will be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when a participant has compensation income, subject to the limitations of Section 162(m) of the Code.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6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STOCKHOLDERS VOTE “FOR” THE APPROVAL OF THE AMENDMENT TO THE 2023 STOCK INCENTIVE PLAN, AS AMENDED.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ACCOUNTANTS</w:t>
      </w: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 has appointed PricewaterhouseCoopers LLP, or PwC, as the company’s independent registered public accounting firm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fiscal year ending December 31, 2026 and the board of directors has directed that management submit the selection of independent registered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accountants for ratification by the stockholders at the annual meeting. PwC has served as the company’s registered public accountant since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5, 2017. Representatives of PwC are expected to participate in the Annual Meeting, will have an opportunity to make a statement if they so desire,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be available to respond to appropriate questions.</w:t>
      </w:r>
    </w:p>
    <w:p>
      <w:pPr>
        <w:spacing w:after="0" w:line="207" w:lineRule="exact"/>
        <w:rPr>
          <w:sz w:val="20"/>
          <w:szCs w:val="20"/>
          <w:color w:val="auto"/>
        </w:rPr>
      </w:pPr>
    </w:p>
    <w:p>
      <w:pPr>
        <w:ind w:left="120" w:right="40" w:firstLine="771"/>
        <w:spacing w:after="0" w:line="256" w:lineRule="auto"/>
        <w:rPr>
          <w:sz w:val="20"/>
          <w:szCs w:val="20"/>
          <w:color w:val="auto"/>
        </w:rPr>
      </w:pPr>
      <w:r>
        <w:rPr>
          <w:rFonts w:ascii="Times New Roman" w:cs="Times New Roman" w:eastAsia="Times New Roman" w:hAnsi="Times New Roman"/>
          <w:sz w:val="18"/>
          <w:szCs w:val="18"/>
          <w:color w:val="auto"/>
        </w:rPr>
        <w:t>Stockholder ratification of the appointment of PwC as the company’s independent registered public accounting firm is not required by Delaware law, our certificate of incorporation or our bylaws. However, the board of directors is submitting the audit committee’s selection of PwC to the stockholders for ratification as a matter of good corporate practice. If the stockholders fail to ratify the selection, the audit committee will reconsider whether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 Fees</w:t>
      </w:r>
    </w:p>
    <w:p>
      <w:pPr>
        <w:spacing w:after="0" w:line="2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services related to the fiscal years ended December 31, 2025 and 2024 by PwC.</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38"/>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85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1,604,000 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1,535,000 </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2,125 </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2,125 </w:t>
            </w:r>
          </w:p>
        </w:tc>
        <w:tc>
          <w:tcPr>
            <w:tcW w:w="8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1,801,125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1,537,125 </w:t>
            </w:r>
          </w:p>
        </w:tc>
      </w:tr>
      <w:tr>
        <w:trPr>
          <w:trHeight w:val="20"/>
        </w:trPr>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20" w:hanging="424"/>
        <w:spacing w:after="0" w:line="266"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performed for the audit of our annual consolidated financial statements, the review of interim consolidated financial statements, and related services that are normally provided in connection with registration statements, comfort letters, and other SEC filings.</w:t>
      </w:r>
    </w:p>
    <w:p>
      <w:pPr>
        <w:spacing w:after="0" w:line="20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primarily of fees for services associated with systems changes.</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compliance, and transfer pricing services.</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database subscription fees.</w:t>
      </w:r>
    </w:p>
    <w:p>
      <w:pPr>
        <w:spacing w:after="0" w:line="225" w:lineRule="exact"/>
        <w:rPr>
          <w:sz w:val="20"/>
          <w:szCs w:val="20"/>
          <w:color w:val="auto"/>
        </w:rPr>
      </w:pPr>
    </w:p>
    <w:p>
      <w:pPr>
        <w:ind w:left="120" w:right="280" w:firstLine="771"/>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non-audit services is compatible with maintaining the independence of PwC, and has concluded that the provision of such services is compatible with maintaining such independence.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56" w:lineRule="exact"/>
        <w:rPr>
          <w:sz w:val="20"/>
          <w:szCs w:val="20"/>
          <w:color w:val="auto"/>
        </w:rPr>
      </w:pPr>
    </w:p>
    <w:p>
      <w:pPr>
        <w:ind w:left="120" w:right="80" w:firstLine="771"/>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registered public accounting firm. These policies and procedures generally provide that we will not engage our registered public accounting firm to render audit or non-audit services unless the service is specifically approved in advance by our audit committee or the engagement is entered into pursuant to one of the pre-approval procedures described below.</w:t>
      </w:r>
    </w:p>
    <w:p>
      <w:pPr>
        <w:spacing w:after="0" w:line="180" w:lineRule="exact"/>
        <w:rPr>
          <w:sz w:val="20"/>
          <w:szCs w:val="20"/>
          <w:color w:val="auto"/>
        </w:rPr>
      </w:pPr>
    </w:p>
    <w:p>
      <w:pPr>
        <w:ind w:left="120" w:right="60" w:firstLine="771"/>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w:t>
      </w:r>
    </w:p>
    <w:p>
      <w:pPr>
        <w:spacing w:after="0" w:line="176"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Our audit committee may also delegate to one or more subcommittees or an individual member of our audit committee the authority to approve any audit or non-audit services to be provided to us by our registered public accounting firm. Any approval of services by a subcommittee or member of our audit committee pursuant to this delegated authority is reported on at the next meeting of our audit committee. During our 2025 and 2024 fiscal years, all of the services provided by PwC were pre-approved by our audit committee.</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66"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TO RATIFY THE APPOINTMENT OF PRICEWATERHOUSECOOPERS LLP AS OUR INDEPENDENT REGISTERED PUBLIC ACCOUNTING FIRM FOR THE FISCAL YEAR ENDING DECEMBER 31, 2026.</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left="120" w:right="60" w:firstLine="771"/>
        <w:spacing w:after="0" w:line="256" w:lineRule="auto"/>
        <w:rPr>
          <w:sz w:val="20"/>
          <w:szCs w:val="20"/>
          <w:color w:val="auto"/>
        </w:rPr>
      </w:pPr>
      <w:r>
        <w:rPr>
          <w:rFonts w:ascii="Times New Roman" w:cs="Times New Roman" w:eastAsia="Times New Roman" w:hAnsi="Times New Roman"/>
          <w:sz w:val="18"/>
          <w:szCs w:val="18"/>
          <w:color w:val="auto"/>
        </w:rPr>
        <w:t>Proposals of stockholders pursuant to Rule 14a-8 of the Exchange Act intended to be included in our proxy statement and form of proxy relating to, and presented at, our annual meeting of stockholders to be held in 2027 must be received by us no later than December 25, 2026, which is 120 days prior to the first anniversary of the mailing date of this proxy, unless the date of the 2027 annual meeting of stockholders is changed by more than 30 days from the anniversary of the Annual Meeting, in which case the deadline for such proposals will be a reasonable time before we begin to print and send our proxy materials. These proposals must comply with the requirements as to form and substance established by the SEC for such proposals in order to be included in the proxy statement.</w:t>
      </w:r>
    </w:p>
    <w:p>
      <w:pPr>
        <w:spacing w:after="0" w:line="187" w:lineRule="exact"/>
        <w:rPr>
          <w:sz w:val="20"/>
          <w:szCs w:val="20"/>
          <w:color w:val="auto"/>
        </w:rPr>
      </w:pPr>
    </w:p>
    <w:p>
      <w:pPr>
        <w:ind w:left="120" w:firstLine="771"/>
        <w:spacing w:after="0" w:line="253"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for nominations for election to our board of directors and other matters that stockholders wish to present for action at an annual meeting, but which will not be included in our proxy statement. The required notice must be delivered by the stockholder and received by our Secretary at our principal executive office and must otherwise meet the requirements set forth in our bylaws (including providing the information required by Rule 14a-19 under the Exchange Act). In general, notice must be received at our principal executive offices not less than 90 calendar days before nor more than 120 calendar days before the one year anniversary of the previous year’s annual meeting of stockholders. Therefore, to be presented at our 2027 annual meeting of stockholders, such a proposal must be received by us no earlier than February 18, 2027 and no later than March 20, 2027. However, if the date of the annual meeting is more than 30 days earlier or more than 60 days later than such anniversary date, notice must be received not earlier than the close of business 120 calendar days prior to such annual meeting and no later than the close of business on the later of (i) 90 days prior to such annual meeting and (ii) 10 days following the day on which notice of the date of such annual meeting was given or public announcement of the date of such annual meeting was first made, whichever occurs first. If the stockholder fails to give notice by these dates, then the persons named as proxies in the proxies solicited by the board of directors for the 2027 annual meeting of stockholders may exercise discretionary voting power regarding any such proposal. Stockholders are advised to review our bylaws which also specify requirements as to the form and content of a stockholder’s notice.</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Any proposals, notices or information about proposed director candidates should be sent to:</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William Cook, Corporate Secretary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Agios Pharmaceuticals, Inc.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88 Sidney Street</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320" w:top="482" w:right="5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left="120" w:firstLine="771"/>
        <w:spacing w:after="0" w:line="266" w:lineRule="auto"/>
        <w:rPr>
          <w:sz w:val="20"/>
          <w:szCs w:val="20"/>
          <w:color w:val="auto"/>
        </w:rPr>
      </w:pPr>
      <w:r>
        <w:rPr>
          <w:rFonts w:ascii="Times New Roman" w:cs="Times New Roman" w:eastAsia="Times New Roman" w:hAnsi="Times New Roman"/>
          <w:sz w:val="18"/>
          <w:szCs w:val="18"/>
          <w:color w:val="auto"/>
        </w:rPr>
        <w:t>We do not know of any business that will be presented for consideration or action by the stockholders at the Annual Meeting other than that described in this Proxy Statement. If, however, any other business is properly brought before the meeting, shares represented by proxies will be voted in accordance with the best judgment of the persons named in the proxies or their substitutes.</w:t>
      </w:r>
    </w:p>
    <w:p>
      <w:pPr>
        <w:spacing w:after="0" w:line="172" w:lineRule="exact"/>
        <w:rPr>
          <w:sz w:val="20"/>
          <w:szCs w:val="20"/>
          <w:color w:val="auto"/>
        </w:rPr>
      </w:pPr>
    </w:p>
    <w:p>
      <w:pPr>
        <w:ind w:left="120" w:firstLine="771"/>
        <w:spacing w:after="0" w:line="262" w:lineRule="auto"/>
        <w:rPr>
          <w:sz w:val="20"/>
          <w:szCs w:val="20"/>
          <w:color w:val="auto"/>
        </w:rPr>
      </w:pPr>
      <w:r>
        <w:rPr>
          <w:rFonts w:ascii="Times New Roman" w:cs="Times New Roman" w:eastAsia="Times New Roman" w:hAnsi="Times New Roman"/>
          <w:sz w:val="18"/>
          <w:szCs w:val="18"/>
          <w:b w:val="1"/>
          <w:bCs w:val="1"/>
          <w:color w:val="auto"/>
        </w:rPr>
        <w:t>We hope that you will virtually attend the Annual Meeting. Whether or not you plan to attend the Annual Meeting virtually, we urge you to vote your shares over the internet or by telephone, or to complete, date, sign and return the proxy card that may be delivered to you upon request in the accompanying postage-prepaid envelope. A prompt response will greatly facilitate arrangements for the meeting, and your cooperation will be appreciated.</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60"/>
          </w:cols>
          <w:pgMar w:left="320" w:top="482"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AGIOS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2023 STOCK INCENTIVE PLAN, AS AMENDED</w:t>
      </w:r>
    </w:p>
    <w:p>
      <w:pPr>
        <w:spacing w:after="0" w:line="252"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The purpose of this 2023 Stock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of Agios Pharmaceuticals,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any successor form) are eligible to be granted Awards (as defined below) under the Plan. Each person who is granted an Award under the Plan is deemed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Plan provides for the following types of awards, each of which is referred to as an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Options (as defined in Section 5), SARs (as defined in Section 6), Restricted Stock (as defined in Section 7), RSUs (as defined in Section 7), Other Stock-Based Awards (as defined in Section 8), and Cash-Based Awards (as defined in Section 8). Any type of Award may be granted as a Performance Award under Section 9. Except as otherwise provided by the Plan, each Award may be made alone or in addition or in relation to any other Award. The terms of each Award need not be identical, and the Board need not treat Participants uniformly.</w:t>
      </w:r>
    </w:p>
    <w:p>
      <w:pPr>
        <w:spacing w:after="0" w:line="219"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sz w:val="20"/>
          <w:szCs w:val="20"/>
          <w:color w:val="auto"/>
        </w:rPr>
      </w:pPr>
    </w:p>
    <w:p>
      <w:pPr>
        <w:ind w:left="120" w:right="180" w:hanging="4"/>
        <w:spacing w:after="0" w:line="258" w:lineRule="auto"/>
        <w:tabs>
          <w:tab w:leader="none" w:pos="3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183" w:lineRule="exact"/>
        <w:rPr>
          <w:rFonts w:ascii="Times New Roman" w:cs="Times New Roman" w:eastAsia="Times New Roman" w:hAnsi="Times New Roman"/>
          <w:sz w:val="18"/>
          <w:szCs w:val="18"/>
          <w:color w:val="auto"/>
        </w:rPr>
      </w:pPr>
    </w:p>
    <w:p>
      <w:pPr>
        <w:ind w:left="120" w:right="40" w:hanging="4"/>
        <w:spacing w:after="0" w:line="261" w:lineRule="auto"/>
        <w:tabs>
          <w:tab w:leader="none" w:pos="3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Delegated Persons referred to in Section 3(c) to the extent that the Board’s powers or authority under the Plan have been delegated to such Committee or such Delegated Persons.</w:t>
      </w:r>
    </w:p>
    <w:p>
      <w:pPr>
        <w:spacing w:after="0" w:line="179" w:lineRule="exact"/>
        <w:rPr>
          <w:rFonts w:ascii="Times New Roman" w:cs="Times New Roman" w:eastAsia="Times New Roman" w:hAnsi="Times New Roman"/>
          <w:sz w:val="18"/>
          <w:szCs w:val="18"/>
          <w:color w:val="auto"/>
        </w:rPr>
      </w:pPr>
    </w:p>
    <w:p>
      <w:pPr>
        <w:ind w:left="120" w:right="40" w:hanging="4"/>
        <w:spacing w:after="0" w:line="266" w:lineRule="auto"/>
        <w:tabs>
          <w:tab w:leader="none" w:pos="3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Delegated Persons</w:t>
      </w:r>
      <w:r>
        <w:rPr>
          <w:rFonts w:ascii="Times New Roman" w:cs="Times New Roman" w:eastAsia="Times New Roman" w:hAnsi="Times New Roman"/>
          <w:sz w:val="18"/>
          <w:szCs w:val="18"/>
          <w:color w:val="auto"/>
        </w:rPr>
        <w:t>. Subject to any requirements of applicable law (including as applicable Sections 152(b) and 157(c) of the General Corporation Law of the State of Delaware), the Board may, by resolution, delegate to one or more persons (including officers of the Company) or bodies (such persons or bodies, the “</w:t>
      </w:r>
      <w:r>
        <w:rPr>
          <w:rFonts w:ascii="Times New Roman" w:cs="Times New Roman" w:eastAsia="Times New Roman" w:hAnsi="Times New Roman"/>
          <w:sz w:val="18"/>
          <w:szCs w:val="18"/>
          <w:b w:val="1"/>
          <w:bCs w:val="1"/>
          <w:i w:val="1"/>
          <w:iCs w:val="1"/>
          <w:color w:val="auto"/>
        </w:rPr>
        <w:t>Delegated Persons</w:t>
      </w:r>
      <w:r>
        <w:rPr>
          <w:rFonts w:ascii="Times New Roman" w:cs="Times New Roman" w:eastAsia="Times New Roman" w:hAnsi="Times New Roman"/>
          <w:sz w:val="18"/>
          <w:szCs w:val="18"/>
          <w:color w:val="auto"/>
        </w:rPr>
        <w:t>”) the power to grant Awards (subject to any limitations under the Plan)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eligible service providers of the Company and to exercise such other powers under the Plan as the Board may determine, provided that the Board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itself; and provided further, that no Delegated Person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w:t>
      </w:r>
    </w:p>
    <w:p>
      <w:pPr>
        <w:spacing w:after="0" w:line="189" w:lineRule="exact"/>
        <w:rPr>
          <w:sz w:val="20"/>
          <w:szCs w:val="20"/>
          <w:color w:val="auto"/>
        </w:rPr>
      </w:pPr>
    </w:p>
    <w:p>
      <w:pPr>
        <w:ind w:left="120" w:right="360" w:hanging="4"/>
        <w:spacing w:after="0" w:line="282" w:lineRule="auto"/>
        <w:tabs>
          <w:tab w:leader="none" w:pos="3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be granted and administered by a Committee, all of the members of which are independent directors as defined by Section 5605(a)(2) of the Nasdaq Marketplace Rules.</w:t>
      </w:r>
    </w:p>
    <w:p>
      <w:pPr>
        <w:spacing w:after="0" w:line="189"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225" w:lineRule="exact"/>
        <w:rPr>
          <w:sz w:val="20"/>
          <w:szCs w:val="20"/>
          <w:color w:val="auto"/>
        </w:rPr>
      </w:pPr>
    </w:p>
    <w:p>
      <w:pPr>
        <w:ind w:left="360" w:hanging="244"/>
        <w:spacing w:after="0"/>
        <w:tabs>
          <w:tab w:leader="none" w:pos="3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hanging="4"/>
        <w:spacing w:after="0" w:line="282" w:lineRule="auto"/>
        <w:tabs>
          <w:tab w:leader="none" w:pos="3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10, Awards may be made under the Plan for up to a number of shares of common stock, $0.001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is equal to the sum of:</w:t>
      </w:r>
    </w:p>
    <w:p>
      <w:pPr>
        <w:spacing w:after="0" w:line="162" w:lineRule="exact"/>
        <w:rPr>
          <w:sz w:val="20"/>
          <w:szCs w:val="20"/>
          <w:color w:val="auto"/>
        </w:rPr>
      </w:pPr>
    </w:p>
    <w:p>
      <w:pPr>
        <w:ind w:left="420" w:hanging="304"/>
        <w:spacing w:after="0"/>
        <w:tabs>
          <w:tab w:leader="none" w:pos="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shares of Common Stock; and</w:t>
      </w:r>
    </w:p>
    <w:p>
      <w:pPr>
        <w:spacing w:after="0" w:line="225" w:lineRule="exact"/>
        <w:rPr>
          <w:rFonts w:ascii="Times New Roman" w:cs="Times New Roman" w:eastAsia="Times New Roman" w:hAnsi="Times New Roman"/>
          <w:sz w:val="18"/>
          <w:szCs w:val="18"/>
          <w:color w:val="auto"/>
        </w:rPr>
      </w:pPr>
    </w:p>
    <w:p>
      <w:pPr>
        <w:ind w:left="120" w:right="180" w:hanging="4"/>
        <w:spacing w:after="0" w:line="261" w:lineRule="auto"/>
        <w:tabs>
          <w:tab w:leader="none" w:pos="4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awards granted under the Company’s 2013 Stock Incentive Plan that are outstanding as of the date that the Plan is approved by the Company’s stockholders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which awards expire, terminate or are otherwise surrendered, cancelled, forfeited or repurchased by the Company at their original issuance price pursuant to a contractual repurchase right (subject, however, in the case of Incentive Stock Options, as defined in Section 5(b), to any limitations under the Code).</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Subject to adjustment under Section 10, no more than 9,000,000 shares of Common Stock may be issued under Incentive Stock Options pursuant to the Plan. Shares of Common Stock issued under the Plan may consist in whole or in part of authorized but unissued shares or treasury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 under this Section 4(a):</w:t>
      </w:r>
    </w:p>
    <w:p>
      <w:pPr>
        <w:spacing w:after="0" w:line="225" w:lineRule="exact"/>
        <w:rPr>
          <w:sz w:val="20"/>
          <w:szCs w:val="20"/>
          <w:color w:val="auto"/>
        </w:rPr>
      </w:pPr>
    </w:p>
    <w:p>
      <w:pPr>
        <w:ind w:left="120" w:right="180" w:hanging="4"/>
        <w:spacing w:after="0" w:line="258" w:lineRule="auto"/>
        <w:tabs>
          <w:tab w:leader="none" w:pos="4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for the same number of shares of Common Stock and provides that only one such Award may be exercised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183" w:lineRule="exact"/>
        <w:rPr>
          <w:rFonts w:ascii="Times New Roman" w:cs="Times New Roman" w:eastAsia="Times New Roman" w:hAnsi="Times New Roman"/>
          <w:sz w:val="18"/>
          <w:szCs w:val="18"/>
          <w:color w:val="auto"/>
        </w:rPr>
      </w:pPr>
    </w:p>
    <w:p>
      <w:pPr>
        <w:ind w:left="400" w:hanging="284"/>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RSU may be settled only in cash, no shares shall be counted against the shares available for the grant of Awards under the Plan;</w:t>
      </w:r>
    </w:p>
    <w:p>
      <w:pPr>
        <w:spacing w:after="0" w:line="225" w:lineRule="exact"/>
        <w:rPr>
          <w:rFonts w:ascii="Times New Roman" w:cs="Times New Roman" w:eastAsia="Times New Roman" w:hAnsi="Times New Roman"/>
          <w:sz w:val="18"/>
          <w:szCs w:val="18"/>
          <w:color w:val="auto"/>
        </w:rPr>
      </w:pPr>
    </w:p>
    <w:p>
      <w:pPr>
        <w:ind w:left="120" w:right="160" w:hanging="4"/>
        <w:spacing w:after="0" w:line="266" w:lineRule="auto"/>
        <w:tabs>
          <w:tab w:leader="none" w:pos="4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Award being settled in cash rather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than stock), the unused Common Stock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85" w:lineRule="exact"/>
        <w:rPr>
          <w:sz w:val="20"/>
          <w:szCs w:val="20"/>
          <w:color w:val="auto"/>
        </w:rPr>
      </w:pPr>
    </w:p>
    <w:p>
      <w:pPr>
        <w:ind w:left="120" w:right="220" w:hanging="4"/>
        <w:spacing w:after="0" w:line="266" w:lineRule="auto"/>
        <w:tabs>
          <w:tab w:leader="none" w:pos="4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175" w:lineRule="exact"/>
        <w:rPr>
          <w:rFonts w:ascii="Times New Roman" w:cs="Times New Roman" w:eastAsia="Times New Roman" w:hAnsi="Times New Roman"/>
          <w:sz w:val="18"/>
          <w:szCs w:val="18"/>
          <w:color w:val="auto"/>
        </w:rPr>
      </w:pPr>
    </w:p>
    <w:p>
      <w:pPr>
        <w:ind w:left="120" w:right="180" w:hanging="4"/>
        <w:spacing w:after="0" w:line="282" w:lineRule="auto"/>
        <w:tabs>
          <w:tab w:leader="none" w:pos="3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62" w:lineRule="exact"/>
        <w:rPr>
          <w:sz w:val="20"/>
          <w:szCs w:val="20"/>
          <w:color w:val="auto"/>
        </w:rPr>
      </w:pPr>
    </w:p>
    <w:p>
      <w:pPr>
        <w:ind w:left="120" w:hanging="4"/>
        <w:spacing w:after="0" w:line="254" w:lineRule="auto"/>
        <w:tabs>
          <w:tab w:leader="none" w:pos="3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aggregate amount of cash and value of Awards (calculated based on grant date fair value for financial reporting purposes) granted in any calendar year to any individual non-employee director shall not exceed $750,000 in the case of an incumbent director; provided, however, that such maximum aggregate amount shall not exceed $1,000,000 in any calendar year for any individual non-employee director in such non-employee director’s initial year of election or appointment; and provided, further, however, that fees paid by the Company on behalf of any non-employee director in connection with regulatory compliance and any amounts paid to a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or Awards granted to a non-employee director in his or her capacity as an advisor or consultant to the Company.</w:t>
      </w:r>
    </w:p>
    <w:p>
      <w:pPr>
        <w:spacing w:after="0" w:line="188" w:lineRule="exact"/>
        <w:rPr>
          <w:rFonts w:ascii="Times New Roman" w:cs="Times New Roman" w:eastAsia="Times New Roman" w:hAnsi="Times New Roman"/>
          <w:sz w:val="18"/>
          <w:szCs w:val="18"/>
          <w:color w:val="auto"/>
        </w:rPr>
      </w:pPr>
    </w:p>
    <w:p>
      <w:pPr>
        <w:ind w:left="120" w:right="80" w:hanging="4"/>
        <w:spacing w:after="0" w:line="258" w:lineRule="auto"/>
        <w:tabs>
          <w:tab w:leader="none" w:pos="3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spacing w:after="0" w:line="210"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221" w:lineRule="exact"/>
        <w:rPr>
          <w:sz w:val="20"/>
          <w:szCs w:val="20"/>
          <w:color w:val="auto"/>
        </w:rPr>
      </w:pPr>
    </w:p>
    <w:p>
      <w:pPr>
        <w:ind w:left="120" w:right="100" w:hanging="4"/>
        <w:spacing w:after="0" w:line="268" w:lineRule="auto"/>
        <w:tabs>
          <w:tab w:leader="none" w:pos="3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70" w:lineRule="exact"/>
        <w:rPr>
          <w:rFonts w:ascii="Times New Roman" w:cs="Times New Roman" w:eastAsia="Times New Roman" w:hAnsi="Times New Roman"/>
          <w:sz w:val="18"/>
          <w:szCs w:val="18"/>
          <w:color w:val="auto"/>
        </w:rPr>
      </w:pPr>
    </w:p>
    <w:p>
      <w:pPr>
        <w:ind w:left="120" w:right="100" w:hanging="4"/>
        <w:spacing w:after="0" w:line="256" w:lineRule="auto"/>
        <w:tabs>
          <w:tab w:leader="none" w:pos="3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 “</w:t>
      </w:r>
      <w:r>
        <w:rPr>
          <w:rFonts w:ascii="Times New Roman" w:cs="Times New Roman" w:eastAsia="Times New Roman" w:hAnsi="Times New Roman"/>
          <w:sz w:val="18"/>
          <w:szCs w:val="18"/>
          <w:b w:val="1"/>
          <w:bCs w:val="1"/>
          <w:i w:val="1"/>
          <w:iCs w:val="1"/>
          <w:color w:val="auto"/>
        </w:rPr>
        <w:t>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Option</w:t>
      </w:r>
      <w:r>
        <w:rPr>
          <w:rFonts w:ascii="Times New Roman" w:cs="Times New Roman" w:eastAsia="Times New Roman" w:hAnsi="Times New Roman"/>
          <w:sz w:val="18"/>
          <w:szCs w:val="18"/>
          <w:color w:val="auto"/>
        </w:rPr>
        <w:t>”) shall only be granted to employees of Agios Pharmaceuticals, Inc., any of Agios Pharmaceuticals, Inc.’s present or future parent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hanging="4"/>
        <w:spacing w:after="0" w:line="258" w:lineRule="auto"/>
        <w:tabs>
          <w:tab w:leader="none" w:pos="3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 Fair Market Value</w:t>
      </w:r>
      <w:r>
        <w:rPr>
          <w:rFonts w:ascii="Times New Roman" w:cs="Times New Roman" w:eastAsia="Times New Roman" w:hAnsi="Times New Roman"/>
          <w:sz w:val="18"/>
          <w:szCs w:val="18"/>
          <w:color w:val="auto"/>
        </w:rPr>
        <w:t>” of a share of Common Stock for purposes of the Plan will be determined as follows:</w:t>
      </w:r>
    </w:p>
    <w:p>
      <w:pPr>
        <w:spacing w:after="0" w:line="183" w:lineRule="exact"/>
        <w:rPr>
          <w:sz w:val="20"/>
          <w:szCs w:val="20"/>
          <w:color w:val="auto"/>
        </w:rPr>
      </w:pPr>
    </w:p>
    <w:p>
      <w:pPr>
        <w:ind w:left="380" w:hanging="264"/>
        <w:spacing w:after="0"/>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trades on a national securities exchange, the closing sale price (for the primary trading session) on the date of grant; or</w:t>
      </w:r>
    </w:p>
    <w:p>
      <w:pPr>
        <w:spacing w:after="0" w:line="225" w:lineRule="exact"/>
        <w:rPr>
          <w:rFonts w:ascii="Times New Roman" w:cs="Times New Roman" w:eastAsia="Times New Roman" w:hAnsi="Times New Roman"/>
          <w:sz w:val="18"/>
          <w:szCs w:val="18"/>
          <w:color w:val="auto"/>
        </w:rPr>
      </w:pPr>
    </w:p>
    <w:p>
      <w:pPr>
        <w:ind w:left="120" w:right="360" w:hanging="4"/>
        <w:spacing w:after="0" w:line="282"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does not trade on any such exchange, the average of the closing bid and asked prices on the date of grant as reported by an over-the-counter marketplace designated by the Board; or</w:t>
      </w:r>
    </w:p>
    <w:p>
      <w:pPr>
        <w:spacing w:after="0" w:line="161" w:lineRule="exact"/>
        <w:rPr>
          <w:rFonts w:ascii="Times New Roman" w:cs="Times New Roman" w:eastAsia="Times New Roman" w:hAnsi="Times New Roman"/>
          <w:sz w:val="18"/>
          <w:szCs w:val="18"/>
          <w:color w:val="auto"/>
        </w:rPr>
      </w:pPr>
    </w:p>
    <w:p>
      <w:pPr>
        <w:ind w:left="120" w:right="20" w:hanging="4"/>
        <w:spacing w:after="0" w:line="261" w:lineRule="auto"/>
        <w:tabs>
          <w:tab w:leader="none" w:pos="37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of the Code or any successor provision thereto, and the regulations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except as the Board may expressly determine otherwise.</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use weighted averages either on a daily basis or such longer period, in each case to the extent permitted by Section 409A.</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Board shall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left="120" w:right="600" w:hanging="4"/>
        <w:spacing w:after="0" w:line="282" w:lineRule="auto"/>
        <w:tabs>
          <w:tab w:leader="none" w:pos="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jc w:val="both"/>
        <w:ind w:left="120" w:right="80" w:hanging="4"/>
        <w:spacing w:after="0" w:line="266" w:lineRule="auto"/>
        <w:tabs>
          <w:tab w:leader="none" w:pos="3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225" w:lineRule="exact"/>
        <w:rPr>
          <w:sz w:val="20"/>
          <w:szCs w:val="20"/>
          <w:color w:val="auto"/>
        </w:rPr>
      </w:pPr>
    </w:p>
    <w:p>
      <w:pPr>
        <w:ind w:left="380" w:hanging="264"/>
        <w:spacing w:after="0"/>
        <w:tabs>
          <w:tab w:leader="none" w:pos="3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ind w:left="120" w:right="20" w:hanging="4"/>
        <w:spacing w:after="0" w:line="261" w:lineRule="auto"/>
        <w:tabs>
          <w:tab w:leader="none" w:pos="3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funds sufficient to pay the exercise price and any required tax withholding;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8" w:lineRule="auto"/>
        <w:tabs>
          <w:tab w:leader="none" w:pos="3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or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83" w:lineRule="exact"/>
        <w:rPr>
          <w:rFonts w:ascii="Times New Roman" w:cs="Times New Roman" w:eastAsia="Times New Roman" w:hAnsi="Times New Roman"/>
          <w:sz w:val="18"/>
          <w:szCs w:val="18"/>
          <w:color w:val="auto"/>
        </w:rPr>
      </w:pPr>
    </w:p>
    <w:p>
      <w:pPr>
        <w:ind w:left="120" w:right="60" w:hanging="4"/>
        <w:spacing w:after="0" w:line="261" w:lineRule="auto"/>
        <w:tabs>
          <w:tab w:leader="none" w:pos="3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or approved by the Board) on the date of exercise;</w:t>
      </w:r>
    </w:p>
    <w:p>
      <w:pPr>
        <w:spacing w:after="0" w:line="179" w:lineRule="exact"/>
        <w:rPr>
          <w:rFonts w:ascii="Times New Roman" w:cs="Times New Roman" w:eastAsia="Times New Roman" w:hAnsi="Times New Roman"/>
          <w:sz w:val="18"/>
          <w:szCs w:val="18"/>
          <w:color w:val="auto"/>
        </w:rPr>
      </w:pPr>
    </w:p>
    <w:p>
      <w:pPr>
        <w:ind w:left="120" w:right="200" w:hanging="4"/>
        <w:spacing w:after="0" w:line="266" w:lineRule="auto"/>
        <w:tabs>
          <w:tab w:leader="none" w:pos="3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7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25" w:lineRule="exact"/>
        <w:rPr>
          <w:sz w:val="20"/>
          <w:szCs w:val="20"/>
          <w:color w:val="auto"/>
        </w:rPr>
      </w:pPr>
    </w:p>
    <w:p>
      <w:pPr>
        <w:ind w:left="120" w:right="100" w:hanging="4"/>
        <w:spacing w:after="0" w:line="254"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or approved by the Board); or (4) take any other action under the Plan that constitutes a “repricing” within the meaning of the rules of the Nasdaq Stock Market or any other exchange or marketplace on which the Company’s stock is listed or traded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540" w:hanging="4"/>
        <w:spacing w:after="0" w:line="282" w:lineRule="auto"/>
        <w:tabs>
          <w:tab w:leader="none" w:pos="3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Options</w:t>
      </w:r>
      <w:r>
        <w:rPr>
          <w:rFonts w:ascii="Times New Roman" w:cs="Times New Roman" w:eastAsia="Times New Roman" w:hAnsi="Times New Roman"/>
          <w:sz w:val="18"/>
          <w:szCs w:val="18"/>
          <w:color w:val="auto"/>
        </w:rPr>
        <w:t>. No Option granted under the Plan shall contain any provision entitling the Participant to the automatic grant of additional Options in connection with any exercise of the original Option.</w:t>
      </w:r>
    </w:p>
    <w:p>
      <w:pPr>
        <w:spacing w:after="0" w:line="16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252"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221" w:lineRule="exact"/>
        <w:rPr>
          <w:sz w:val="20"/>
          <w:szCs w:val="20"/>
          <w:color w:val="auto"/>
        </w:rPr>
      </w:pPr>
    </w:p>
    <w:p>
      <w:pPr>
        <w:ind w:left="120" w:right="80" w:hanging="4"/>
        <w:spacing w:after="0" w:line="262" w:lineRule="auto"/>
        <w:tabs>
          <w:tab w:leader="none" w:pos="3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or approved by the Board) over the measurement price established pursuant to Section 6(b). The date as of which such appreciation is determined shall be the exercise date.</w:t>
      </w:r>
    </w:p>
    <w:p>
      <w:pPr>
        <w:spacing w:after="0" w:line="180" w:lineRule="exact"/>
        <w:rPr>
          <w:rFonts w:ascii="Times New Roman" w:cs="Times New Roman" w:eastAsia="Times New Roman" w:hAnsi="Times New Roman"/>
          <w:sz w:val="18"/>
          <w:szCs w:val="18"/>
          <w:color w:val="auto"/>
        </w:rPr>
      </w:pPr>
    </w:p>
    <w:p>
      <w:pPr>
        <w:ind w:left="120" w:hanging="4"/>
        <w:spacing w:after="0" w:line="261" w:lineRule="auto"/>
        <w:tabs>
          <w:tab w:leader="none" w:pos="3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hanging="4"/>
        <w:spacing w:after="0" w:line="282" w:lineRule="auto"/>
        <w:tabs>
          <w:tab w:leader="none" w:pos="3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120" w:right="140" w:hanging="4"/>
        <w:spacing w:after="0" w:line="282" w:lineRule="auto"/>
        <w:tabs>
          <w:tab w:leader="none" w:pos="3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left="120" w:right="20" w:hanging="4"/>
        <w:spacing w:after="0" w:line="254" w:lineRule="auto"/>
        <w:tabs>
          <w:tab w:leader="none" w:pos="3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or approved by the Board); or (4) take any other action under the Plan that constitutes a “repricing” within the meaning of the rules of the Exchange.</w:t>
      </w:r>
    </w:p>
    <w:p>
      <w:pPr>
        <w:spacing w:after="0" w:line="191" w:lineRule="exact"/>
        <w:rPr>
          <w:rFonts w:ascii="Times New Roman" w:cs="Times New Roman" w:eastAsia="Times New Roman" w:hAnsi="Times New Roman"/>
          <w:sz w:val="18"/>
          <w:szCs w:val="18"/>
          <w:color w:val="auto"/>
        </w:rPr>
      </w:pPr>
    </w:p>
    <w:p>
      <w:pPr>
        <w:ind w:left="120" w:right="220" w:hanging="4"/>
        <w:spacing w:after="0" w:line="282" w:lineRule="auto"/>
        <w:tabs>
          <w:tab w:leader="none" w:pos="3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SARs</w:t>
      </w:r>
      <w:r>
        <w:rPr>
          <w:rFonts w:ascii="Times New Roman" w:cs="Times New Roman" w:eastAsia="Times New Roman" w:hAnsi="Times New Roman"/>
          <w:sz w:val="18"/>
          <w:szCs w:val="18"/>
          <w:color w:val="auto"/>
        </w:rPr>
        <w:t>. No SAR granted under the Plan shall contain any provision entitling the Participant to the automatic grant of additional SARs in connection with any exercise of the original SAR.</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131"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RSUs</w:t>
      </w:r>
    </w:p>
    <w:p>
      <w:pPr>
        <w:spacing w:after="0" w:line="221" w:lineRule="exact"/>
        <w:rPr>
          <w:sz w:val="20"/>
          <w:szCs w:val="20"/>
          <w:color w:val="auto"/>
        </w:rPr>
      </w:pPr>
    </w:p>
    <w:p>
      <w:pPr>
        <w:ind w:left="120" w:hanging="4"/>
        <w:spacing w:after="0" w:line="259" w:lineRule="auto"/>
        <w:tabs>
          <w:tab w:leader="none" w:pos="3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or on a deferred basis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140" w:hanging="4"/>
        <w:spacing w:after="0" w:line="282" w:lineRule="auto"/>
        <w:tabs>
          <w:tab w:leader="none" w:pos="3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Restricted Stock and RSUs</w:t>
      </w:r>
      <w:r>
        <w:rPr>
          <w:rFonts w:ascii="Times New Roman" w:cs="Times New Roman" w:eastAsia="Times New Roman" w:hAnsi="Times New Roman"/>
          <w:sz w:val="18"/>
          <w:szCs w:val="18"/>
          <w:color w:val="auto"/>
        </w:rPr>
        <w:t>. The Board shall determine the terms and conditions of Restricted Stock and RSUs,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hanging="4"/>
        <w:spacing w:after="0" w:line="277" w:lineRule="auto"/>
        <w:tabs>
          <w:tab w:leader="none" w:pos="37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Any dividends (whether paid in cash, stock or property) declared and paid by the Company with respect to shares of Restricted Stock (“</w:t>
      </w:r>
      <w:r>
        <w:rPr>
          <w:rFonts w:ascii="Times New Roman" w:cs="Times New Roman" w:eastAsia="Times New Roman" w:hAnsi="Times New Roman"/>
          <w:sz w:val="17"/>
          <w:szCs w:val="17"/>
          <w:b w:val="1"/>
          <w:bCs w:val="1"/>
          <w:i w:val="1"/>
          <w:iCs w:val="1"/>
          <w:color w:val="auto"/>
        </w:rPr>
        <w:t>Unvested Dividends</w:t>
      </w:r>
      <w:r>
        <w:rPr>
          <w:rFonts w:ascii="Times New Roman" w:cs="Times New Roman" w:eastAsia="Times New Roman" w:hAnsi="Times New Roman"/>
          <w:sz w:val="17"/>
          <w:szCs w:val="17"/>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67" w:lineRule="exact"/>
        <w:rPr>
          <w:rFonts w:ascii="Times New Roman" w:cs="Times New Roman" w:eastAsia="Times New Roman" w:hAnsi="Times New Roman"/>
          <w:sz w:val="17"/>
          <w:szCs w:val="17"/>
          <w:color w:val="auto"/>
        </w:rPr>
      </w:pPr>
    </w:p>
    <w:p>
      <w:pPr>
        <w:ind w:left="120" w:right="20" w:hanging="4"/>
        <w:spacing w:after="0" w:line="261" w:lineRule="auto"/>
        <w:tabs>
          <w:tab w:leader="none" w:pos="3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Certificates/Issuance</w:t>
      </w:r>
      <w:r>
        <w:rPr>
          <w:rFonts w:ascii="Times New Roman" w:cs="Times New Roman" w:eastAsia="Times New Roman" w:hAnsi="Times New Roman"/>
          <w:sz w:val="18"/>
          <w:szCs w:val="18"/>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or, alternatively, that such shares be issued in book entry only, in the name of the Participant with appropriate transfer and forfeiture restrictions. At the expiration of the applicable restriction periods, the Company (or such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designee) shall deliver the certificates no longer subject to such restrictions (or, to the extent the Restricted Stock was issued in book entry, remove the restrictions) to the Participant or if the Participant has died, to his or her Designated Beneficiary (as defined below).</w:t>
      </w:r>
    </w:p>
    <w:p>
      <w:pPr>
        <w:spacing w:after="0" w:line="162" w:lineRule="exact"/>
        <w:rPr>
          <w:sz w:val="20"/>
          <w:szCs w:val="20"/>
          <w:color w:val="auto"/>
        </w:rPr>
      </w:pPr>
    </w:p>
    <w:p>
      <w:pPr>
        <w:ind w:left="380" w:hanging="264"/>
        <w:spacing w:after="0"/>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RSUs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hanging="4"/>
        <w:spacing w:after="0" w:line="258"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with respect to each RSU, the Participant shall be entitled to receive from the Company (i.e., settlement) the number of shares of Common Stock specified in the Award agreement or (if so provided in the applicable Award agreement or otherwise determined by the Board) an amount of cash equal to the fair market value (valued in the manner determined or approved by the Board) of such number of shares or a combination thereof. The Board may provide that settlement of RSUs shall be deferred, on a mandatory basis or at the election of the Participant, in a manner that complies with Section 409A.</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RSUs.</w:t>
      </w:r>
    </w:p>
    <w:p>
      <w:pPr>
        <w:spacing w:after="0" w:line="225" w:lineRule="exact"/>
        <w:rPr>
          <w:rFonts w:ascii="Times New Roman" w:cs="Times New Roman" w:eastAsia="Times New Roman" w:hAnsi="Times New Roman"/>
          <w:sz w:val="18"/>
          <w:szCs w:val="18"/>
          <w:color w:val="auto"/>
        </w:rPr>
      </w:pPr>
    </w:p>
    <w:p>
      <w:pPr>
        <w:ind w:left="120" w:right="80" w:hanging="4"/>
        <w:spacing w:after="0" w:line="258"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Dividend Equivalents may be credited to an account for the Participant and may be settled in cash and/or shares of Common Stock, in each case to the extent provided in the applicable Award agreement. Dividend Equivalents with respect to RSUs will be subject to the same restrictions on transfer and forfeitability as the RSUs with respect to which paid. No interest will be paid on Dividend Equivalents.</w:t>
      </w:r>
    </w:p>
    <w:p>
      <w:pPr>
        <w:spacing w:after="0" w:line="210"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and Cash-Based Awards</w:t>
      </w:r>
    </w:p>
    <w:p>
      <w:pPr>
        <w:spacing w:after="0" w:line="225" w:lineRule="exact"/>
        <w:rPr>
          <w:sz w:val="20"/>
          <w:szCs w:val="20"/>
          <w:color w:val="auto"/>
        </w:rPr>
      </w:pPr>
    </w:p>
    <w:p>
      <w:pPr>
        <w:ind w:left="120" w:right="40" w:hanging="4"/>
        <w:spacing w:after="0" w:line="258" w:lineRule="auto"/>
        <w:tabs>
          <w:tab w:leader="none" w:pos="3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Times New Roman" w:cs="Times New Roman" w:eastAsia="Times New Roman" w:hAnsi="Times New Roman"/>
          <w:sz w:val="18"/>
          <w:szCs w:val="18"/>
          <w:b w:val="1"/>
          <w:bCs w:val="1"/>
          <w:i w:val="1"/>
          <w:iCs w:val="1"/>
          <w:color w:val="auto"/>
        </w:rPr>
        <w:t>Cash-Based Awards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 each Other Stock-Based Award or Cash-Based Award, including any purchase price applicable thereto.</w:t>
      </w:r>
    </w:p>
    <w:p>
      <w:pPr>
        <w:spacing w:after="0" w:line="161" w:lineRule="exact"/>
        <w:rPr>
          <w:rFonts w:ascii="Times New Roman" w:cs="Times New Roman" w:eastAsia="Times New Roman" w:hAnsi="Times New Roman"/>
          <w:sz w:val="18"/>
          <w:szCs w:val="18"/>
          <w:color w:val="auto"/>
        </w:rPr>
      </w:pPr>
    </w:p>
    <w:p>
      <w:pPr>
        <w:ind w:left="120" w:right="40" w:hanging="4"/>
        <w:spacing w:after="0" w:line="258" w:lineRule="auto"/>
        <w:tabs>
          <w:tab w:leader="none" w:pos="3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an Other Stock-Based Award may provide Participants with the right to receive Dividend Equivalents. Dividend Equivalents may be credited to an account for the Participant and may be settled in cash and/or shares of Common Stock, in each case to the extent provided in the applicable Award agreement. Dividend Equivalents with respect to Other-Stock Based Awards will be subject to the same restrictions on transfer and forfeitability as the Other Stock-Based Award with respect to which paid. No interest will be paid on Dividend Equivalents.</w:t>
      </w:r>
    </w:p>
    <w:p>
      <w:pPr>
        <w:spacing w:after="0" w:line="210"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p>
    <w:p>
      <w:pPr>
        <w:spacing w:after="0" w:line="221" w:lineRule="exact"/>
        <w:rPr>
          <w:sz w:val="20"/>
          <w:szCs w:val="20"/>
          <w:color w:val="auto"/>
        </w:rPr>
      </w:pPr>
    </w:p>
    <w:p>
      <w:pPr>
        <w:ind w:left="360" w:hanging="244"/>
        <w:spacing w:after="0"/>
        <w:tabs>
          <w:tab w:leader="none" w:pos="3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Awards under the Plan may be made subject to the achievement of performance goals pursuant to this Section 9 (“</w:t>
      </w: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0" w:right="120" w:hanging="4"/>
        <w:spacing w:after="0" w:line="266" w:lineRule="auto"/>
        <w:tabs>
          <w:tab w:leader="none" w:pos="37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82"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of the following, and which may be determined pursuant to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or on a non-GAAP basis, as determined by the Board: (i) the entry into an arrangement or agreement with a third party for the development, commercialization, marketing or distribution of products, services or technologies, or for conducting a research program to discover and develop a product, service or technology, and/or the achievement of milestones under such arrangement or agreement, including events that trigger an obligation or payment right; (ii) achievement of domestic and international regulatory milestones, including the submission of filings required to advance products, services and technologies in clinical development and the achievement of approvals by regulatory authorities relating to the commercialization of products, services and technologies;</w:t>
      </w:r>
    </w:p>
    <w:p>
      <w:pPr>
        <w:spacing w:after="0" w:line="4" w:lineRule="exact"/>
        <w:rPr>
          <w:sz w:val="20"/>
          <w:szCs w:val="20"/>
          <w:color w:val="auto"/>
        </w:rPr>
      </w:pPr>
    </w:p>
    <w:p>
      <w:pPr>
        <w:ind w:left="120" w:hanging="4"/>
        <w:spacing w:after="0" w:line="250" w:lineRule="auto"/>
        <w:tabs>
          <w:tab w:leader="none" w:pos="4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discovery, preclinical and clinical stage scientific objectives, discoveries or inventions for products, services and technologies under research and development; (iv) the entry into or completion of a phase of clinical development for any product, service or technology, such as the entry into or completion of phase 1, 2 and/or 3 clinical trials; (v) the consummation of debt or equity financing transactions, or acquisitions of business, technologies and assets; (vi) new product or service releases; (vii) the achievement of qualitative or quantitative performance measures set forth in operating plans approved by the Board from time to time; (viii) specified levels of product sales,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(ix) improvement of financial ratings; (x) achievement of balance sheet or income statement objectives; (xi) total stockholder return or stock price; (xii) other comparable measures of financial and operational performance; (xiii) achievement of environmental, social, or governance objectives, and/ or (xiv)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(1) extraordinary items; (2) gains or losses on the dispositions of discontinued operations; (3) the cumulative effects of changes in accounting principles; (4) the writedown of any asset; (5) fluctuation in foreign currency exchange rates; (6) charges for restructuring and rationalization programs; (7) non-cash, mark-to-market adjustments on derivative instruments; (8) amortization of purchased intangibles; (9) the net impact of tax rate changes; (10) non-cash asset impairment charges; (11) gains on extinguishment of the tax receivable agreement; and (12) any other factors as the Board may determine. Such performance measures: (x) may vary by Participant and may be different for different Awards; (y) may be particular to a Participant or the department, branch, line of business, subsidiary or other unit in which the Participant works and may cover such period as may be specified by the Board;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w:t>
      </w:r>
    </w:p>
    <w:p>
      <w:pPr>
        <w:spacing w:after="0" w:line="206" w:lineRule="exact"/>
        <w:rPr>
          <w:sz w:val="20"/>
          <w:szCs w:val="20"/>
          <w:color w:val="auto"/>
        </w:rPr>
      </w:pPr>
    </w:p>
    <w:p>
      <w:pPr>
        <w:ind w:left="120" w:right="180" w:hanging="4"/>
        <w:spacing w:after="0" w:line="282" w:lineRule="auto"/>
        <w:tabs>
          <w:tab w:leader="none" w:pos="36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Board may adjust the number of shares payable pursuant to such Performance Award, and the Board may, at any time, waive the achievement of the applicable performance measures.</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Dividend Equivalents</w:t>
      </w:r>
      <w:r>
        <w:rPr>
          <w:rFonts w:ascii="Times New Roman" w:cs="Times New Roman" w:eastAsia="Times New Roman" w:hAnsi="Times New Roman"/>
          <w:sz w:val="18"/>
          <w:szCs w:val="18"/>
          <w:color w:val="auto"/>
        </w:rPr>
        <w:t>. Notwithstanding its designation as a Performance Award, no Option or SAR shall provide for the payment or</w:t>
      </w:r>
    </w:p>
    <w:p>
      <w:pPr>
        <w:spacing w:after="0" w:line="27" w:lineRule="exact"/>
        <w:rPr>
          <w:rFonts w:ascii="Times New Roman" w:cs="Times New Roman" w:eastAsia="Times New Roman" w:hAnsi="Times New Roman"/>
          <w:sz w:val="18"/>
          <w:szCs w:val="18"/>
          <w:color w:val="auto"/>
        </w:rPr>
      </w:pPr>
    </w:p>
    <w:p>
      <w:pPr>
        <w:ind w:left="1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of dividend equivalents in accordance with Sections 5(i) and 6(g), as applicable, any dividends declared and paid by the Company with respect to shares of Restricted Stock shall be subject to Section 7(c)(i), and any right to receive Dividend Equivalents on an award of RSUs and Other Stock-Based Awards shall be subject to Sections 7(d)(1) and 8(c), as applicable.</w:t>
      </w:r>
    </w:p>
    <w:p>
      <w:pPr>
        <w:spacing w:after="0" w:line="213"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225" w:lineRule="exact"/>
        <w:rPr>
          <w:sz w:val="20"/>
          <w:szCs w:val="20"/>
          <w:color w:val="auto"/>
        </w:rPr>
      </w:pPr>
    </w:p>
    <w:p>
      <w:pPr>
        <w:ind w:left="120" w:right="100" w:hanging="4"/>
        <w:spacing w:after="0" w:line="282" w:lineRule="auto"/>
        <w:tabs>
          <w:tab w:leader="none" w:pos="3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dividend or distribution to holders of Common Stock other than an ordinary cash dividend, (i) the number and class of securities available under the Plan and the number and class of securities available for grant as Incentive Stock Options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92" w:lineRule="exact"/>
        <w:rPr>
          <w:sz w:val="20"/>
          <w:szCs w:val="20"/>
          <w:color w:val="auto"/>
        </w:rPr>
      </w:pPr>
    </w:p>
    <w:p>
      <w:pPr>
        <w:ind w:left="380" w:hanging="264"/>
        <w:spacing w:after="0"/>
        <w:tabs>
          <w:tab w:leader="none" w:pos="3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hanging="4"/>
        <w:spacing w:after="0" w:line="262" w:lineRule="auto"/>
        <w:tabs>
          <w:tab w:leader="none" w:pos="3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180"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40" w:hanging="4"/>
        <w:spacing w:after="0" w:line="266" w:lineRule="auto"/>
        <w:tabs>
          <w:tab w:leader="none" w:pos="4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w:t>
      </w:r>
    </w:p>
    <w:p>
      <w:pPr>
        <w:spacing w:after="0" w:line="176" w:lineRule="exact"/>
        <w:rPr>
          <w:sz w:val="20"/>
          <w:szCs w:val="20"/>
          <w:color w:val="auto"/>
        </w:rPr>
      </w:pPr>
    </w:p>
    <w:p>
      <w:pPr>
        <w:ind w:left="120" w:right="60" w:hanging="4"/>
        <w:spacing w:after="0" w:line="282" w:lineRule="auto"/>
        <w:tabs>
          <w:tab w:leader="none" w:pos="3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such Awards shall be assumed, or substantially equivalent Awards shall be substituted, by the acquiring or succeeding corporation (or an affiliate thereof);</w:t>
      </w:r>
    </w:p>
    <w:p>
      <w:pPr>
        <w:spacing w:after="0" w:line="161" w:lineRule="exact"/>
        <w:rPr>
          <w:rFonts w:ascii="Times New Roman" w:cs="Times New Roman" w:eastAsia="Times New Roman" w:hAnsi="Times New Roman"/>
          <w:sz w:val="18"/>
          <w:szCs w:val="18"/>
          <w:color w:val="auto"/>
        </w:rPr>
      </w:pPr>
    </w:p>
    <w:p>
      <w:pPr>
        <w:ind w:left="120" w:right="60" w:hanging="4"/>
        <w:spacing w:after="0" w:line="266"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w:t>
      </w:r>
    </w:p>
    <w:p>
      <w:pPr>
        <w:spacing w:after="0" w:line="175" w:lineRule="exact"/>
        <w:rPr>
          <w:rFonts w:ascii="Times New Roman" w:cs="Times New Roman" w:eastAsia="Times New Roman" w:hAnsi="Times New Roman"/>
          <w:sz w:val="18"/>
          <w:szCs w:val="18"/>
          <w:color w:val="auto"/>
        </w:rPr>
      </w:pPr>
    </w:p>
    <w:p>
      <w:pPr>
        <w:ind w:left="120" w:hanging="4"/>
        <w:spacing w:after="0" w:line="282" w:lineRule="auto"/>
        <w:tabs>
          <w:tab w:leader="none" w:pos="4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outstanding Awards shall become exercisable, realizable or deliverable, or restrictions applicable to an Award shall lapse, in whole or in part prior to or upon such Reorganization Event;</w:t>
      </w:r>
    </w:p>
    <w:p>
      <w:pPr>
        <w:spacing w:after="0" w:line="161" w:lineRule="exact"/>
        <w:rPr>
          <w:rFonts w:ascii="Times New Roman" w:cs="Times New Roman" w:eastAsia="Times New Roman" w:hAnsi="Times New Roman"/>
          <w:sz w:val="18"/>
          <w:szCs w:val="18"/>
          <w:color w:val="auto"/>
        </w:rPr>
      </w:pPr>
    </w:p>
    <w:p>
      <w:pPr>
        <w:ind w:left="120" w:right="40" w:hanging="4"/>
        <w:spacing w:after="0" w:line="255" w:lineRule="auto"/>
        <w:tabs>
          <w:tab w:leader="none" w:pos="4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Acquisition Price per share (as determined by the Board) does not exceed the exercise price of such Award, then the Award shall be cancelled without any payment of consideration therefor;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hanging="4"/>
        <w:spacing w:after="0" w:line="282" w:lineRule="auto"/>
        <w:tabs>
          <w:tab w:leader="none" w:pos="3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in connection with a liquidation or dissolution of the Company, Awards shall convert into the right to receive liquidation proceeds (if applicable, net of the exercise, measurement or purchase price thereof and any applicable tax withholdings); and</w:t>
      </w:r>
    </w:p>
    <w:p>
      <w:pPr>
        <w:spacing w:after="0" w:line="161"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Section 10(b)(2)(A), the Board shall not be obligated by the Plan to treat all Awards, all Awards held by a Participant, or all Awards of the same type, identically.</w:t>
      </w:r>
    </w:p>
    <w:p>
      <w:pPr>
        <w:spacing w:after="0" w:line="162" w:lineRule="exact"/>
        <w:rPr>
          <w:sz w:val="20"/>
          <w:szCs w:val="20"/>
          <w:color w:val="auto"/>
        </w:rPr>
      </w:pPr>
    </w:p>
    <w:p>
      <w:pPr>
        <w:ind w:left="120" w:right="380" w:hanging="4"/>
        <w:spacing w:after="0" w:line="261" w:lineRule="auto"/>
        <w:tabs>
          <w:tab w:leader="none" w:pos="4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10(b)(2)(A)(i), in the case of outstanding RSUs that are subject to Section 409A: (i) if the applicable RSU agreement provides that the RSUs shall be settled upon a “change in control event” within the meaning of Treasury Regulation</w:t>
      </w:r>
    </w:p>
    <w:p>
      <w:pPr>
        <w:ind w:left="1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188" w:lineRule="exact"/>
        <w:rPr>
          <w:rFonts w:ascii="Times New Roman" w:cs="Times New Roman" w:eastAsia="Times New Roman" w:hAnsi="Times New Roman"/>
          <w:sz w:val="18"/>
          <w:szCs w:val="18"/>
          <w:color w:val="auto"/>
        </w:rPr>
      </w:pPr>
    </w:p>
    <w:p>
      <w:pPr>
        <w:ind w:left="120" w:hanging="4"/>
        <w:spacing w:after="0" w:line="253" w:lineRule="auto"/>
        <w:tabs>
          <w:tab w:leader="none" w:pos="4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191" w:lineRule="exact"/>
        <w:rPr>
          <w:rFonts w:ascii="Times New Roman" w:cs="Times New Roman" w:eastAsia="Times New Roman" w:hAnsi="Times New Roman"/>
          <w:sz w:val="18"/>
          <w:szCs w:val="18"/>
          <w:color w:val="auto"/>
        </w:rPr>
      </w:pPr>
    </w:p>
    <w:p>
      <w:pPr>
        <w:ind w:left="120" w:right="80" w:hanging="4"/>
        <w:spacing w:after="0" w:line="266" w:lineRule="auto"/>
        <w:tabs>
          <w:tab w:leader="none" w:pos="4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impose a limitation on the ability of Participants holding Options and/or SARs to exercise their Awards for the minimum number of days prior to the closing of the Reorganization Event as is reasonably necessary to facilitate the orderly closing of the Reorganization Event. The Company shall provide reasonable notice to Participants of any such limitation on exercise.</w:t>
      </w:r>
    </w:p>
    <w:p>
      <w:pPr>
        <w:spacing w:after="0" w:line="176" w:lineRule="exact"/>
        <w:rPr>
          <w:sz w:val="20"/>
          <w:szCs w:val="20"/>
          <w:color w:val="auto"/>
        </w:rPr>
      </w:pPr>
    </w:p>
    <w:p>
      <w:pPr>
        <w:ind w:left="120" w:right="20" w:hanging="4"/>
        <w:spacing w:after="0" w:line="272" w:lineRule="auto"/>
        <w:tabs>
          <w:tab w:leader="none" w:pos="37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 of a Reorganization Event on Restricted Stock</w:t>
      </w:r>
      <w:r>
        <w:rPr>
          <w:rFonts w:ascii="Times New Roman" w:cs="Times New Roman" w:eastAsia="Times New Roman" w:hAnsi="Times New Roman"/>
          <w:sz w:val="17"/>
          <w:szCs w:val="17"/>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Board may either provide for termination or deemed satisfaction of such repurchase or other rights under the instrument evidencing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Participant and the Company, all restrictions and conditions on all Restricted Stock then outstanding shall automatically be deemed terminated or satisfied.</w:t>
      </w:r>
    </w:p>
    <w:p>
      <w:pPr>
        <w:spacing w:after="0" w:line="189"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sz w:val="20"/>
          <w:szCs w:val="20"/>
          <w:color w:val="auto"/>
        </w:rPr>
      </w:pPr>
    </w:p>
    <w:p>
      <w:pPr>
        <w:ind w:left="120" w:hanging="4"/>
        <w:spacing w:after="0" w:line="253" w:lineRule="auto"/>
        <w:tabs>
          <w:tab w:leader="none" w:pos="36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with respect to Awards subject to Section 409A and Incentive Stock Options,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91" w:lineRule="exact"/>
        <w:rPr>
          <w:rFonts w:ascii="Times New Roman" w:cs="Times New Roman" w:eastAsia="Times New Roman" w:hAnsi="Times New Roman"/>
          <w:sz w:val="18"/>
          <w:szCs w:val="18"/>
          <w:color w:val="auto"/>
        </w:rPr>
      </w:pPr>
    </w:p>
    <w:p>
      <w:pPr>
        <w:ind w:left="120" w:right="480" w:hanging="4"/>
        <w:spacing w:after="0" w:line="282" w:lineRule="auto"/>
        <w:tabs>
          <w:tab w:leader="none" w:pos="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auto"/>
        </w:rPr>
      </w:pPr>
    </w:p>
    <w:p>
      <w:pPr>
        <w:ind w:left="120" w:right="40" w:hanging="4"/>
        <w:spacing w:after="0" w:line="256" w:lineRule="auto"/>
        <w:tabs>
          <w:tab w:leader="none" w:pos="36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or service, authorized leave of absence or other change in the employment or other service status of a Participant and the extent to which, and the period during which, the Participant, or the Participant’s legal representative, conservator, guardian or Designated Beneficiary, may exercise rights, or receive any benefits, under an Award.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7"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or approved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or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or</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80"/>
          </w:cols>
          <w:pgMar w:left="320" w:top="482"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approved by, the Company)) as the Company shall determine to be necessary to satisfy the tax liability associated with any Award. Shares used to satisfy tax withholding requirements cannot be subject to any repurchase, forfeiture, unfulfilled vesting or other similar requirements.</w:t>
      </w:r>
    </w:p>
    <w:p>
      <w:pPr>
        <w:spacing w:after="0" w:line="162" w:lineRule="exact"/>
        <w:rPr>
          <w:sz w:val="20"/>
          <w:szCs w:val="20"/>
          <w:color w:val="auto"/>
        </w:rPr>
      </w:pPr>
    </w:p>
    <w:p>
      <w:pPr>
        <w:ind w:left="120" w:right="240" w:hanging="4"/>
        <w:spacing w:after="0" w:line="270" w:lineRule="auto"/>
        <w:tabs>
          <w:tab w:leader="none" w:pos="364"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Award</w:t>
      </w:r>
      <w:r>
        <w:rPr>
          <w:rFonts w:ascii="Times New Roman" w:cs="Times New Roman" w:eastAsia="Times New Roman" w:hAnsi="Times New Roman"/>
          <w:sz w:val="17"/>
          <w:szCs w:val="17"/>
          <w:color w:val="auto"/>
        </w:rPr>
        <w:t>. Except as otherwise provided in Section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permitted under Section 10.</w:t>
      </w:r>
    </w:p>
    <w:p>
      <w:pPr>
        <w:spacing w:after="0" w:line="206" w:lineRule="exact"/>
        <w:rPr>
          <w:rFonts w:ascii="Times New Roman" w:cs="Times New Roman" w:eastAsia="Times New Roman" w:hAnsi="Times New Roman"/>
          <w:sz w:val="18"/>
          <w:szCs w:val="18"/>
          <w:color w:val="auto"/>
        </w:rPr>
      </w:pPr>
    </w:p>
    <w:p>
      <w:pPr>
        <w:ind w:left="120" w:right="160" w:hanging="4"/>
        <w:spacing w:after="0" w:line="270" w:lineRule="auto"/>
        <w:tabs>
          <w:tab w:leader="none" w:pos="34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w:t>
      </w:r>
    </w:p>
    <w:p>
      <w:pPr>
        <w:spacing w:after="0" w:line="2" w:lineRule="exact"/>
        <w:rPr>
          <w:rFonts w:ascii="Times New Roman" w:cs="Times New Roman" w:eastAsia="Times New Roman" w:hAnsi="Times New Roman"/>
          <w:sz w:val="17"/>
          <w:szCs w:val="17"/>
          <w:color w:val="auto"/>
        </w:rPr>
      </w:pPr>
    </w:p>
    <w:p>
      <w:pPr>
        <w:ind w:left="120" w:right="120" w:hanging="4"/>
        <w:spacing w:after="0" w:line="260" w:lineRule="auto"/>
        <w:tabs>
          <w:tab w:leader="none" w:pos="4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executed and delivered to the Company such representations or agreements as the Company may consider appropriate to satisfy the requirements of any applicable laws, rules or regulations.</w:t>
      </w:r>
    </w:p>
    <w:p>
      <w:pPr>
        <w:spacing w:after="0" w:line="181" w:lineRule="exact"/>
        <w:rPr>
          <w:rFonts w:ascii="Times New Roman" w:cs="Times New Roman" w:eastAsia="Times New Roman" w:hAnsi="Times New Roman"/>
          <w:sz w:val="18"/>
          <w:szCs w:val="18"/>
          <w:color w:val="auto"/>
        </w:rPr>
      </w:pPr>
    </w:p>
    <w:p>
      <w:pPr>
        <w:ind w:left="120" w:right="280" w:hanging="4"/>
        <w:spacing w:after="0" w:line="282" w:lineRule="auto"/>
        <w:tabs>
          <w:tab w:leader="none" w:pos="3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67"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left="120" w:right="100" w:hanging="4"/>
        <w:spacing w:after="0" w:line="261" w:lineRule="auto"/>
        <w:tabs>
          <w:tab w:leader="none" w:pos="36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auto"/>
        </w:rPr>
      </w:pPr>
    </w:p>
    <w:p>
      <w:pPr>
        <w:ind w:left="120" w:right="60" w:hanging="4"/>
        <w:spacing w:after="0" w:line="261" w:lineRule="auto"/>
        <w:tabs>
          <w:tab w:leader="none" w:pos="3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Clawback</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179" w:lineRule="exact"/>
        <w:rPr>
          <w:rFonts w:ascii="Times New Roman" w:cs="Times New Roman" w:eastAsia="Times New Roman" w:hAnsi="Times New Roman"/>
          <w:sz w:val="18"/>
          <w:szCs w:val="18"/>
          <w:color w:val="auto"/>
        </w:rPr>
      </w:pPr>
    </w:p>
    <w:p>
      <w:pPr>
        <w:ind w:left="120" w:right="660" w:hanging="4"/>
        <w:spacing w:after="0" w:line="282" w:lineRule="auto"/>
        <w:tabs>
          <w:tab w:leader="none" w:pos="36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Effective Date. No Awards shall be granted under the Plan after the expiration of 10 years from the Effective Date, but Awards previously granted may extend beyond that date.</w:t>
      </w:r>
    </w:p>
    <w:p>
      <w:pPr>
        <w:spacing w:after="0" w:line="161" w:lineRule="exact"/>
        <w:rPr>
          <w:rFonts w:ascii="Times New Roman" w:cs="Times New Roman" w:eastAsia="Times New Roman" w:hAnsi="Times New Roman"/>
          <w:sz w:val="18"/>
          <w:szCs w:val="18"/>
          <w:color w:val="auto"/>
        </w:rPr>
      </w:pPr>
    </w:p>
    <w:p>
      <w:pPr>
        <w:ind w:left="120" w:hanging="4"/>
        <w:spacing w:after="0" w:line="268" w:lineRule="auto"/>
        <w:tabs>
          <w:tab w:leader="none" w:pos="37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may amend, suspend or terminate the Plan or any portion thereof at any time provided that (i) neither Section 5(g) nor Section 6(e) requiring stockholder approval of any Option or SAR repricing may be amended without stockholder approval; (ii) no amendment that would require stockholder approval under the rules of the national securities exchange on which the Company then maintains its primary listing will be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w:t>
      </w:r>
    </w:p>
    <w:p>
      <w:pPr>
        <w:spacing w:after="0" w:line="2"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materially expanding the class of participants eligible to participate in the Plan shall be effective unless and until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192" w:lineRule="exact"/>
        <w:rPr>
          <w:sz w:val="20"/>
          <w:szCs w:val="20"/>
          <w:color w:val="auto"/>
        </w:rPr>
      </w:pPr>
    </w:p>
    <w:p>
      <w:pPr>
        <w:ind w:left="120" w:hanging="4"/>
        <w:spacing w:after="0" w:line="256" w:lineRule="auto"/>
        <w:tabs>
          <w:tab w:leader="none" w:pos="3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7" w:lineRule="exact"/>
        <w:rPr>
          <w:rFonts w:ascii="Times New Roman" w:cs="Times New Roman" w:eastAsia="Times New Roman" w:hAnsi="Times New Roman"/>
          <w:sz w:val="18"/>
          <w:szCs w:val="18"/>
          <w:color w:val="auto"/>
        </w:rPr>
      </w:pPr>
    </w:p>
    <w:p>
      <w:pPr>
        <w:ind w:left="120" w:hanging="4"/>
        <w:spacing w:after="0" w:line="254" w:lineRule="auto"/>
        <w:tabs>
          <w:tab w:leader="none" w:pos="34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If and to the extent (i) any portion of any payment, compensation or other benefit provided to a Participant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to be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76" w:lineRule="exact"/>
        <w:rPr>
          <w:sz w:val="20"/>
          <w:szCs w:val="20"/>
          <w:color w:val="auto"/>
        </w:rPr>
      </w:pPr>
    </w:p>
    <w:p>
      <w:pPr>
        <w:ind w:left="120" w:hanging="4"/>
        <w:spacing w:after="0" w:line="255" w:lineRule="auto"/>
        <w:tabs>
          <w:tab w:leader="none" w:pos="3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jc w:val="both"/>
        <w:ind w:left="120" w:right="120" w:hanging="4"/>
        <w:spacing w:after="0" w:line="266" w:lineRule="auto"/>
        <w:tabs>
          <w:tab w:leader="none" w:pos="3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Agios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2 TO 2023 STOCK INCENTIVE PLAN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Agios Pharmaceuticals, Inc. (the “Company”) maintains the 2023 Stock Incentive Plan (the “Plan”);</w:t>
      </w:r>
    </w:p>
    <w:p>
      <w:pPr>
        <w:spacing w:after="0" w:line="225" w:lineRule="exact"/>
        <w:rPr>
          <w:sz w:val="20"/>
          <w:szCs w:val="20"/>
          <w:color w:val="auto"/>
        </w:rPr>
      </w:pPr>
    </w:p>
    <w:p>
      <w:pPr>
        <w:jc w:val="both"/>
        <w:ind w:left="120" w:right="400" w:firstLine="771"/>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Company has determined that it is in the best interest of the Company and its stockholders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 the Plan, pursuant to Section 12(d) thereof, to increase the number of shares of Company common stock that may be granted under the Plan;</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Plan is amended, pursuant to Section 12(d) thereof, as follows:</w:t>
      </w:r>
    </w:p>
    <w:p>
      <w:pPr>
        <w:spacing w:after="0" w:line="256" w:lineRule="exact"/>
        <w:rPr>
          <w:sz w:val="20"/>
          <w:szCs w:val="20"/>
          <w:color w:val="auto"/>
        </w:rPr>
      </w:pPr>
    </w:p>
    <w:p>
      <w:pPr>
        <w:ind w:left="1320" w:right="540" w:hanging="435"/>
        <w:spacing w:after="0" w:line="282" w:lineRule="auto"/>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set forth in Section 4(a)(1)(A) of the Plan is increased by 2,000,000 shares of Common Stock to 9,000,000 shares of Common Stock.</w:t>
      </w:r>
    </w:p>
    <w:p>
      <w:pPr>
        <w:spacing w:after="0" w:line="188"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flush language at the end of Section 4(a)(1) of the Plan is amended and restated in its entirety to read as follows:</w:t>
      </w:r>
    </w:p>
    <w:p>
      <w:pPr>
        <w:spacing w:after="0" w:line="225" w:lineRule="exact"/>
        <w:rPr>
          <w:sz w:val="20"/>
          <w:szCs w:val="20"/>
          <w:color w:val="auto"/>
        </w:rPr>
      </w:pPr>
    </w:p>
    <w:p>
      <w:pPr>
        <w:jc w:val="both"/>
        <w:ind w:left="1760" w:right="200"/>
        <w:spacing w:after="0" w:line="266" w:lineRule="auto"/>
        <w:rPr>
          <w:sz w:val="20"/>
          <w:szCs w:val="20"/>
          <w:color w:val="auto"/>
        </w:rPr>
      </w:pPr>
      <w:r>
        <w:rPr>
          <w:rFonts w:ascii="Times New Roman" w:cs="Times New Roman" w:eastAsia="Times New Roman" w:hAnsi="Times New Roman"/>
          <w:sz w:val="18"/>
          <w:szCs w:val="18"/>
          <w:color w:val="auto"/>
        </w:rPr>
        <w:t>Subject to adjustment under Section 10, no more than 9,000,000 shares of Common Stock may be issued under Incentive Stock Options pursuant to the Plan. Shares of Common Stock issued under the Plan may consist in whole or in part of authorized but unissued shares or treasury shares.</w:t>
      </w:r>
    </w:p>
    <w:p>
      <w:pPr>
        <w:spacing w:after="0" w:line="17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Except as set forth above, all other terms of the Plan shall remain unchanged and in full force and effect. Capitalized terms used herein and not otherwise defined herein shall have the respective meanings assigned to them in the Plan.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Amendment was adopted by the Board of Directors of the Company on April 16, 2026.</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1"/>
    </w:lvl>
  </w:abstractNum>
  <w:abstractNum w:abstractNumId="7">
    <w:nsid w:val="661E3F1E"/>
    <w:multiLevelType w:val="hybridMultilevel"/>
    <w:lvl w:ilvl="0">
      <w:lvlJc w:val="left"/>
      <w:lvlText w:val="(%1)"/>
      <w:numFmt w:val="decimal"/>
      <w:start w:val="1"/>
    </w:lvl>
  </w:abstractNum>
  <w:abstractNum w:abstractNumId="8">
    <w:nsid w:val="5DC79EA8"/>
    <w:multiLevelType w:val="hybridMultilevel"/>
    <w:lvl w:ilvl="0">
      <w:lvlJc w:val="left"/>
      <w:lvlText w:val="(%1)"/>
      <w:numFmt w:val="decimal"/>
      <w:start w:val="2"/>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1)"/>
      <w:numFmt w:val="decimal"/>
      <w:start w:val="1"/>
    </w:lvl>
  </w:abstractNum>
  <w:abstractNum w:abstractNumId="11">
    <w:nsid w:val="51D9C564"/>
    <w:multiLevelType w:val="hybridMultilevel"/>
    <w:lvl w:ilvl="0">
      <w:lvlJc w:val="left"/>
      <w:lvlText w:val="(%1)"/>
      <w:numFmt w:val="decimal"/>
      <w:start w:val="3"/>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1)"/>
      <w:numFmt w:val="decimal"/>
      <w:start w:val="4"/>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decimal"/>
      <w:start w:val="1"/>
    </w:lvl>
    <w:lvl w:ilvl="1">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1)"/>
      <w:numFmt w:val="decimal"/>
      <w:start w:val="2"/>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decimal"/>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1)"/>
      <w:numFmt w:val="lowerRoman"/>
      <w:start w:val="1"/>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1)"/>
      <w:numFmt w:val="decimal"/>
      <w:start w:val="4"/>
    </w:lvl>
  </w:abstractNum>
  <w:abstractNum w:abstractNumId="59">
    <w:nsid w:val="6FC75AF8"/>
    <w:multiLevelType w:val="hybridMultilevel"/>
    <w:lvl w:ilvl="0">
      <w:lvlJc w:val="left"/>
      <w:lvlText w:val="(%1)"/>
      <w:numFmt w:val="decimal"/>
      <w:start w:val="1"/>
    </w:lvl>
  </w:abstractNum>
  <w:abstractNum w:abstractNumId="60">
    <w:nsid w:val="6A5F7029"/>
    <w:multiLevelType w:val="hybridMultilevel"/>
    <w:lvl w:ilvl="0">
      <w:lvlJc w:val="left"/>
      <w:lvlText w:val="(%1)"/>
      <w:numFmt w:val="decimal"/>
      <w:start w:val="2"/>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1)"/>
      <w:numFmt w:val="decimal"/>
      <w:start w:val="6"/>
    </w:lvl>
  </w:abstractNum>
  <w:abstractNum w:abstractNumId="63">
    <w:nsid w:val="73A1821B"/>
    <w:multiLevelType w:val="hybridMultilevel"/>
    <w:lvl w:ilvl="0">
      <w:lvlJc w:val="left"/>
      <w:lvlText w:val="(%1)"/>
      <w:numFmt w:val="decimal"/>
      <w:start w:val="1"/>
    </w:lvl>
  </w:abstractNum>
  <w:abstractNum w:abstractNumId="64">
    <w:nsid w:val="7DE67713"/>
    <w:multiLevelType w:val="hybridMultilevel"/>
    <w:lvl w:ilvl="0">
      <w:lvlJc w:val="left"/>
      <w:lvlText w:val="(%1)"/>
      <w:numFmt w:val="lowerRoman"/>
      <w:start w:val="7"/>
    </w:lvl>
  </w:abstractNum>
  <w:abstractNum w:abstractNumId="65">
    <w:nsid w:val="555C55B5"/>
    <w:multiLevelType w:val="hybridMultilevel"/>
    <w:lvl w:ilvl="0">
      <w:lvlJc w:val="left"/>
      <w:lvlText w:val="(%1)"/>
      <w:numFmt w:val="lowerRoman"/>
      <w:start w:val="1"/>
    </w:lvl>
  </w:abstractNum>
  <w:abstractNum w:abstractNumId="66">
    <w:nsid w:val="3FA62ACA"/>
    <w:multiLevelType w:val="hybridMultilevel"/>
    <w:lvl w:ilvl="0">
      <w:lvlJc w:val="left"/>
      <w:lvlText w:val="(%1)"/>
      <w:numFmt w:val="lowerRoman"/>
      <w:start w:val="1"/>
    </w:lvl>
  </w:abstractNum>
  <w:abstractNum w:abstractNumId="67">
    <w:nsid w:val="14FCE74E"/>
    <w:multiLevelType w:val="hybridMultilevel"/>
    <w:lvl w:ilvl="0">
      <w:lvlJc w:val="left"/>
      <w:lvlText w:val="(%1)"/>
      <w:numFmt w:val="decimal"/>
      <w:start w:val="1"/>
    </w:lvl>
  </w:abstractNum>
  <w:abstractNum w:abstractNumId="68">
    <w:nsid w:val="6A3DD3E8"/>
    <w:multiLevelType w:val="hybridMultilevel"/>
    <w:lvl w:ilvl="0">
      <w:lvlJc w:val="left"/>
      <w:lvlText w:val="(%1)"/>
      <w:numFmt w:val="decimal"/>
      <w:start w:val="10"/>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1)"/>
      <w:numFmt w:val="decimal"/>
      <w:start w:val="2"/>
    </w:lvl>
  </w:abstractNum>
  <w:abstractNum w:abstractNumId="71">
    <w:nsid w:val="53299938"/>
    <w:multiLevelType w:val="hybridMultilevel"/>
    <w:lvl w:ilvl="0">
      <w:lvlJc w:val="left"/>
      <w:lvlText w:val="(%1)"/>
      <w:numFmt w:val="decimal"/>
      <w:start w:val="4"/>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lowerRoman"/>
      <w:start w:val="1"/>
    </w:lvl>
  </w:abstractNum>
  <w:abstractNum w:abstractNumId="79">
    <w:nsid w:val="97E1B4E"/>
    <w:multiLevelType w:val="hybridMultilevel"/>
    <w:lvl w:ilvl="0">
      <w:lvlJc w:val="left"/>
      <w:lvlText w:val="(%1)"/>
      <w:numFmt w:val="lowerRoman"/>
      <w:start w:val="13"/>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lowerRoman"/>
      <w:start w:val="5"/>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1."/>
      <w:numFmt w:val="decimal"/>
      <w:start w:val="2"/>
    </w:lvl>
  </w:abstractNum>
  <w:abstractNum w:abstractNumId="86">
    <w:nsid w:val="45E6D486"/>
    <w:multiLevelType w:val="hybridMultilevel"/>
    <w:lvl w:ilvl="0">
      <w:lvlJc w:val="left"/>
      <w:lvlText w:val="%1."/>
      <w:numFmt w:val="decimal"/>
      <w:start w:val="3"/>
    </w:lvl>
  </w:abstractNum>
  <w:abstractNum w:abstractNumId="87">
    <w:nsid w:val="5C10FE21"/>
    <w:multiLevelType w:val="hybridMultilevel"/>
    <w:lvl w:ilvl="0">
      <w:lvlJc w:val="left"/>
      <w:lvlText w:val="(%1)"/>
      <w:numFmt w:val="lowerLetter"/>
      <w:start w:val="1"/>
    </w:lvl>
  </w:abstractNum>
  <w:abstractNum w:abstractNumId="88">
    <w:nsid w:val="E7FFA2B"/>
    <w:multiLevelType w:val="hybridMultilevel"/>
    <w:lvl w:ilvl="0">
      <w:lvlJc w:val="left"/>
      <w:lvlText w:val="(%1)"/>
      <w:numFmt w:val="lowerLetter"/>
      <w:start w:val="4"/>
    </w:lvl>
  </w:abstractNum>
  <w:abstractNum w:abstractNumId="89">
    <w:nsid w:val="3C5991AA"/>
    <w:multiLevelType w:val="hybridMultilevel"/>
    <w:lvl w:ilvl="0">
      <w:lvlJc w:val="left"/>
      <w:lvlText w:val="%1."/>
      <w:numFmt w:val="decimal"/>
      <w:start w:val="4"/>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decimal"/>
      <w:start w:val="1"/>
    </w:lvl>
  </w:abstractNum>
  <w:abstractNum w:abstractNumId="92">
    <w:nsid w:val="39B7AAA2"/>
    <w:multiLevelType w:val="hybridMultilevel"/>
    <w:lvl w:ilvl="0">
      <w:lvlJc w:val="left"/>
      <w:lvlText w:val="(%1)"/>
      <w:numFmt w:val="upperLetter"/>
      <w:start w:val="1"/>
    </w:lvl>
  </w:abstractNum>
  <w:abstractNum w:abstractNumId="93">
    <w:nsid w:val="2B0D8DBE"/>
    <w:multiLevelType w:val="hybridMultilevel"/>
    <w:lvl w:ilvl="0">
      <w:lvlJc w:val="left"/>
      <w:lvlText w:val="(%1)"/>
      <w:numFmt w:val="upperLetter"/>
      <w:start w:val="1"/>
    </w:lvl>
  </w:abstractNum>
  <w:abstractNum w:abstractNumId="94">
    <w:nsid w:val="6C80EC70"/>
    <w:multiLevelType w:val="hybridMultilevel"/>
    <w:lvl w:ilvl="0">
      <w:lvlJc w:val="left"/>
      <w:lvlText w:val="(%1)"/>
      <w:numFmt w:val="upperLetter"/>
      <w:start w:val="4"/>
    </w:lvl>
  </w:abstractNum>
  <w:abstractNum w:abstractNumId="95">
    <w:nsid w:val="379E21B5"/>
    <w:multiLevelType w:val="hybridMultilevel"/>
    <w:lvl w:ilvl="0">
      <w:lvlJc w:val="left"/>
      <w:lvlText w:val="(%1)"/>
      <w:numFmt w:val="lowerLetter"/>
      <w:start w:val="2"/>
    </w:lvl>
  </w:abstractNum>
  <w:abstractNum w:abstractNumId="96">
    <w:nsid w:val="69E373"/>
    <w:multiLevelType w:val="hybridMultilevel"/>
    <w:lvl w:ilvl="0">
      <w:lvlJc w:val="left"/>
      <w:lvlText w:val="%1."/>
      <w:numFmt w:val="decimal"/>
      <w:start w:val="5"/>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Letter"/>
      <w:start w:val="3"/>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1)"/>
      <w:numFmt w:val="lowerLetter"/>
      <w:start w:val="4"/>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3"/>
    </w:lvl>
  </w:abstractNum>
  <w:abstractNum w:abstractNumId="103">
    <w:nsid w:val="3DB012B3"/>
    <w:multiLevelType w:val="hybridMultilevel"/>
    <w:lvl w:ilvl="0">
      <w:lvlJc w:val="left"/>
      <w:lvlText w:val="(%1)"/>
      <w:numFmt w:val="lowerLetter"/>
      <w:start w:val="7"/>
    </w:lvl>
  </w:abstractNum>
  <w:abstractNum w:abstractNumId="104">
    <w:nsid w:val="2708C9AF"/>
    <w:multiLevelType w:val="hybridMultilevel"/>
    <w:lvl w:ilvl="0">
      <w:lvlJc w:val="left"/>
      <w:lvlText w:val="%1."/>
      <w:numFmt w:val="decimal"/>
      <w:start w:val="6"/>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lowerLetter"/>
      <w:start w:val="3"/>
    </w:lvl>
  </w:abstractNum>
  <w:abstractNum w:abstractNumId="107">
    <w:nsid w:val="4F97E3E4"/>
    <w:multiLevelType w:val="hybridMultilevel"/>
    <w:lvl w:ilvl="0">
      <w:lvlJc w:val="left"/>
      <w:lvlText w:val="%1."/>
      <w:numFmt w:val="decimal"/>
      <w:start w:val="7"/>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decimal"/>
      <w:start w:val="1"/>
    </w:lvl>
  </w:abstractNum>
  <w:abstractNum w:abstractNumId="110">
    <w:nsid w:val="5915FF32"/>
    <w:multiLevelType w:val="hybridMultilevel"/>
    <w:lvl w:ilvl="0">
      <w:lvlJc w:val="left"/>
      <w:lvlText w:val="(%1)"/>
      <w:numFmt w:val="lowerLetter"/>
      <w:start w:val="4"/>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8"/>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decimal"/>
      <w:start w:val="9"/>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lowerRoman"/>
      <w:start w:val="3"/>
    </w:lvl>
  </w:abstractNum>
  <w:abstractNum w:abstractNumId="117">
    <w:nsid w:val="5D888A08"/>
    <w:multiLevelType w:val="hybridMultilevel"/>
    <w:lvl w:ilvl="0">
      <w:lvlJc w:val="left"/>
      <w:lvlText w:val="(%1)"/>
      <w:numFmt w:val="lowerLetter"/>
      <w:start w:val="3"/>
    </w:lvl>
  </w:abstractNum>
  <w:abstractNum w:abstractNumId="118">
    <w:nsid w:val="2A082C70"/>
    <w:multiLevelType w:val="hybridMultilevel"/>
    <w:lvl w:ilvl="0">
      <w:lvlJc w:val="left"/>
      <w:lvlText w:val="%1."/>
      <w:numFmt w:val="decimal"/>
      <w:start w:val="10"/>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upperLetter"/>
      <w:start w:val="1"/>
    </w:lvl>
  </w:abstractNum>
  <w:abstractNum w:abstractNumId="123">
    <w:nsid w:val="5399C654"/>
    <w:multiLevelType w:val="hybridMultilevel"/>
    <w:lvl w:ilvl="0">
      <w:lvlJc w:val="left"/>
      <w:lvlText w:val="(%1)"/>
      <w:numFmt w:val="lowerRoman"/>
      <w:start w:val="1"/>
    </w:lvl>
  </w:abstractNum>
  <w:abstractNum w:abstractNumId="124">
    <w:nsid w:val="20EE1348"/>
    <w:multiLevelType w:val="hybridMultilevel"/>
    <w:lvl w:ilvl="0">
      <w:lvlJc w:val="left"/>
      <w:lvlText w:val="(%1)"/>
      <w:numFmt w:val="lowerRoman"/>
      <w:start w:val="5"/>
    </w:lvl>
  </w:abstractNum>
  <w:abstractNum w:abstractNumId="125">
    <w:nsid w:val="4427069A"/>
    <w:multiLevelType w:val="hybridMultilevel"/>
    <w:lvl w:ilvl="0">
      <w:lvlJc w:val="left"/>
      <w:lvlText w:val="(%1)"/>
      <w:numFmt w:val="upperLetter"/>
      <w:start w:val="2"/>
    </w:lvl>
  </w:abstractNum>
  <w:abstractNum w:abstractNumId="126">
    <w:nsid w:val="B37E80A"/>
    <w:multiLevelType w:val="hybridMultilevel"/>
    <w:lvl w:ilvl="0">
      <w:lvlJc w:val="left"/>
      <w:lvlText w:val="(%1)"/>
      <w:numFmt w:val="decimal"/>
      <w:start w:val="3"/>
    </w:lvl>
  </w:abstractNum>
  <w:abstractNum w:abstractNumId="127">
    <w:nsid w:val="2157F6BC"/>
    <w:multiLevelType w:val="hybridMultilevel"/>
    <w:lvl w:ilvl="0">
      <w:lvlJc w:val="left"/>
      <w:lvlText w:val="%1."/>
      <w:numFmt w:val="decimal"/>
      <w:start w:val="1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lowerLetter"/>
      <w:start w:val="5"/>
    </w:lvl>
  </w:abstractNum>
  <w:abstractNum w:abstractNumId="130">
    <w:nsid w:val="BFFAE18"/>
    <w:multiLevelType w:val="hybridMultilevel"/>
    <w:lvl w:ilvl="0">
      <w:lvlJc w:val="left"/>
      <w:lvlText w:val="(%1)"/>
      <w:numFmt w:val="lowerLetter"/>
      <w:start w:val="35"/>
    </w:lvl>
  </w:abstractNum>
  <w:abstractNum w:abstractNumId="131">
    <w:nsid w:val="E3E47A8"/>
    <w:multiLevelType w:val="hybridMultilevel"/>
    <w:lvl w:ilvl="0">
      <w:lvlJc w:val="left"/>
      <w:lvlText w:val="(%1)"/>
      <w:numFmt w:val="lowerLetter"/>
      <w:start w:val="6"/>
    </w:lvl>
  </w:abstractNum>
  <w:abstractNum w:abstractNumId="132">
    <w:nsid w:val="2E48F044"/>
    <w:multiLevelType w:val="hybridMultilevel"/>
    <w:lvl w:ilvl="0">
      <w:lvlJc w:val="left"/>
      <w:lvlText w:val="(%1)"/>
      <w:numFmt w:val="lowerLetter"/>
      <w:start w:val="61"/>
    </w:lvl>
  </w:abstractNum>
  <w:abstractNum w:abstractNumId="133">
    <w:nsid w:val="49D0FEAC"/>
    <w:multiLevelType w:val="hybridMultilevel"/>
    <w:lvl w:ilvl="0">
      <w:lvlJc w:val="left"/>
      <w:lvlText w:val="(%1)"/>
      <w:numFmt w:val="lowerLetter"/>
      <w:start w:val="7"/>
    </w:lvl>
  </w:abstractNum>
  <w:abstractNum w:abstractNumId="134">
    <w:nsid w:val="4BEE5A5B"/>
    <w:multiLevelType w:val="hybridMultilevel"/>
    <w:lvl w:ilvl="0">
      <w:lvlJc w:val="left"/>
      <w:lvlText w:val="%1."/>
      <w:numFmt w:val="decimal"/>
      <w:start w:val="12"/>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1)"/>
      <w:numFmt w:val="lowerLetter"/>
      <w:start w:val="5"/>
    </w:lvl>
  </w:abstractNum>
  <w:abstractNum w:abstractNumId="137">
    <w:nsid w:val="634C574C"/>
    <w:multiLevelType w:val="hybridMultilevel"/>
    <w:lvl w:ilvl="0">
      <w:lvlJc w:val="left"/>
      <w:lvlText w:val="(%1)"/>
      <w:numFmt w:val="lowerLetter"/>
      <w:start w:val="7"/>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2026-04-24T15:25:11Z</dcterms:created>
  <dcterms:modified xsi:type="dcterms:W3CDTF">2026-04-24T15:25:11Z</dcterms:modified>
</cp:coreProperties>
</file>