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lineRule="atLeast" w:line="142" w:before="0" w:after="0"/>
        <w:jc w:val="left"/>
        <w:rPr>
          <w:bdr w:val="single" w:sz="2" w:space="1" w:color="000000"/>
        </w:rPr>
      </w:pPr>
      <w:bookmarkStart w:id="0" w:name="d62491d8k.htm"/>
      <w:bookmarkStart w:id="1" w:name="ksd62491d8k"/>
      <w:bookmarkEnd w:id="0"/>
      <w:bookmarkEnd w:id="1"/>
      <w:r>
        <w:rPr>
          <w:bdr w:val="single" w:sz="2" w:space="1" w:color="000000"/>
        </w:rPr>
        <w:t>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80" w:after="0"/>
        <w:jc w:val="center"/>
        <w:rPr>
          <w:rFonts w:ascii="Times New Roman" w:hAnsi="Times New Roman"/>
          <w:b/>
          <w:sz w:val="36"/>
        </w:rPr>
      </w:pPr>
      <w:r>
        <w:rPr>
          <w:rFonts w:ascii="Times New Roman" w:hAnsi="Times New Roman"/>
          <w:b/>
          <w:sz w:val="36"/>
        </w:rPr>
        <w:t>UNITED STATES</w:t>
      </w:r>
    </w:p>
    <w:p>
      <w:pPr>
        <w:pStyle w:val="TextBody"/>
        <w:bidi w:val="0"/>
        <w:spacing w:before="0" w:after="0"/>
        <w:jc w:val="center"/>
        <w:rPr>
          <w:rFonts w:ascii="Times New Roman" w:hAnsi="Times New Roman"/>
          <w:b/>
          <w:sz w:val="36"/>
        </w:rPr>
      </w:pPr>
      <w:r>
        <w:rPr>
          <w:rFonts w:ascii="Times New Roman" w:hAnsi="Times New Roman"/>
          <w:b/>
          <w:sz w:val="36"/>
        </w:rPr>
        <w:t>SECURITIES AND EXCHANGE COMMISSION</w:t>
      </w:r>
    </w:p>
    <w:p>
      <w:pPr>
        <w:pStyle w:val="TextBody"/>
        <w:bidi w:val="0"/>
        <w:spacing w:before="0" w:after="0"/>
        <w:jc w:val="center"/>
        <w:rPr>
          <w:rFonts w:ascii="Times New Roman" w:hAnsi="Times New Roman"/>
          <w:b/>
          <w:sz w:val="24"/>
        </w:rPr>
      </w:pPr>
      <w:r>
        <w:rPr>
          <w:rFonts w:ascii="Times New Roman" w:hAnsi="Times New Roman"/>
          <w:b/>
          <w:sz w:val="24"/>
        </w:rPr>
        <w:t>WASHINGTON, D.C. 20549</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00" w:after="0"/>
        <w:jc w:val="center"/>
        <w:rPr>
          <w:rFonts w:ascii="Times New Roman" w:hAnsi="Times New Roman"/>
          <w:b/>
          <w:sz w:val="36"/>
        </w:rPr>
      </w:pPr>
      <w:r>
        <w:rPr>
          <w:rFonts w:ascii="Times New Roman" w:hAnsi="Times New Roman"/>
          <w:b/>
          <w:sz w:val="36"/>
        </w:rPr>
        <w:t>FORM 8-K</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00" w:after="0"/>
        <w:jc w:val="center"/>
        <w:rPr>
          <w:rFonts w:ascii="Times New Roman" w:hAnsi="Times New Roman"/>
          <w:b/>
          <w:sz w:val="24"/>
        </w:rPr>
      </w:pPr>
      <w:r>
        <w:rPr>
          <w:rFonts w:ascii="Times New Roman" w:hAnsi="Times New Roman"/>
          <w:b/>
          <w:sz w:val="24"/>
        </w:rPr>
        <w:t>CURRENT REPORT</w:t>
      </w:r>
    </w:p>
    <w:p>
      <w:pPr>
        <w:pStyle w:val="TextBody"/>
        <w:bidi w:val="0"/>
        <w:spacing w:before="0" w:after="0"/>
        <w:jc w:val="center"/>
        <w:rPr>
          <w:rFonts w:ascii="Times New Roman" w:hAnsi="Times New Roman"/>
          <w:b/>
          <w:sz w:val="24"/>
        </w:rPr>
      </w:pPr>
      <w:r>
        <w:rPr>
          <w:rFonts w:ascii="Times New Roman" w:hAnsi="Times New Roman"/>
          <w:b/>
          <w:sz w:val="24"/>
        </w:rPr>
        <w:t>Pursuant to Section 13 or 15(d)</w:t>
      </w:r>
    </w:p>
    <w:p>
      <w:pPr>
        <w:pStyle w:val="TextBody"/>
        <w:bidi w:val="0"/>
        <w:spacing w:before="0" w:after="0"/>
        <w:jc w:val="center"/>
        <w:rPr>
          <w:rFonts w:ascii="Times New Roman" w:hAnsi="Times New Roman"/>
          <w:b/>
          <w:sz w:val="24"/>
        </w:rPr>
      </w:pPr>
      <w:r>
        <w:rPr>
          <w:rFonts w:ascii="Times New Roman" w:hAnsi="Times New Roman"/>
          <w:b/>
          <w:sz w:val="24"/>
        </w:rPr>
        <w:t>of the Securities Exchange Act of 1934</w:t>
      </w:r>
    </w:p>
    <w:p>
      <w:pPr>
        <w:pStyle w:val="TextBody"/>
        <w:bidi w:val="0"/>
        <w:spacing w:before="200" w:after="0"/>
        <w:jc w:val="center"/>
        <w:rPr>
          <w:rFonts w:ascii="Times New Roman" w:hAnsi="Times New Roman"/>
          <w:b/>
          <w:sz w:val="24"/>
        </w:rPr>
      </w:pPr>
      <w:r>
        <w:rPr>
          <w:rFonts w:ascii="Times New Roman" w:hAnsi="Times New Roman"/>
          <w:b/>
          <w:sz w:val="24"/>
        </w:rPr>
        <w:t>Date of Report (Date of earliest event reported): June 18, 2026</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00" w:after="0"/>
        <w:jc w:val="center"/>
        <w:rPr>
          <w:rFonts w:ascii="Times New Roman" w:hAnsi="Times New Roman"/>
          <w:b/>
          <w:sz w:val="48"/>
        </w:rPr>
      </w:pPr>
      <w:r>
        <w:rPr>
          <w:rFonts w:ascii="Times New Roman" w:hAnsi="Times New Roman"/>
          <w:b/>
          <w:sz w:val="48"/>
        </w:rPr>
        <w:t xml:space="preserve">Agios Pharmaceuticals, Inc. </w:t>
      </w:r>
    </w:p>
    <w:p>
      <w:pPr>
        <w:pStyle w:val="TextBody"/>
        <w:bidi w:val="0"/>
        <w:spacing w:before="0" w:after="0"/>
        <w:jc w:val="center"/>
        <w:rPr>
          <w:rFonts w:ascii="Times New Roman" w:hAnsi="Times New Roman"/>
          <w:b/>
          <w:sz w:val="20"/>
        </w:rPr>
      </w:pPr>
      <w:r>
        <w:rPr>
          <w:rFonts w:ascii="Times New Roman" w:hAnsi="Times New Roman"/>
          <w:b/>
          <w:sz w:val="20"/>
        </w:rPr>
        <w:t>(Exact Name of Registrant as Specified in Charter)</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0" w:after="0"/>
        <w:jc w:val="left"/>
        <w:rPr/>
      </w:pPr>
      <w:r>
        <w:rPr/>
        <w:t> </w:t>
      </w:r>
    </w:p>
    <w:tbl>
      <w:tblPr>
        <w:tblW w:w="4605" w:type="dxa"/>
        <w:jc w:val="left"/>
        <w:tblInd w:w="0" w:type="dxa"/>
        <w:tblLayout w:type="fixed"/>
        <w:tblCellMar>
          <w:top w:w="0" w:type="dxa"/>
          <w:left w:w="0" w:type="dxa"/>
          <w:bottom w:w="0" w:type="dxa"/>
          <w:right w:w="0" w:type="dxa"/>
        </w:tblCellMar>
      </w:tblPr>
      <w:tblGrid>
        <w:gridCol w:w="2060"/>
        <w:gridCol w:w="60"/>
        <w:gridCol w:w="1055"/>
        <w:gridCol w:w="60"/>
        <w:gridCol w:w="1370"/>
      </w:tblGrid>
      <w:tr>
        <w:trPr/>
        <w:tc>
          <w:tcPr>
            <w:tcW w:w="20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0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370" w:type="dxa"/>
            <w:tcBorders/>
            <w:vAlign w:val="center"/>
          </w:tcPr>
          <w:p>
            <w:pPr>
              <w:pStyle w:val="TableContents"/>
              <w:bidi w:val="0"/>
              <w:spacing w:before="0" w:after="283"/>
              <w:jc w:val="left"/>
              <w:rPr>
                <w:sz w:val="4"/>
                <w:szCs w:val="4"/>
              </w:rPr>
            </w:pPr>
            <w:r>
              <w:rPr>
                <w:sz w:val="4"/>
                <w:szCs w:val="4"/>
              </w:rPr>
            </w:r>
          </w:p>
        </w:tc>
      </w:tr>
      <w:tr>
        <w:trPr/>
        <w:tc>
          <w:tcPr>
            <w:tcW w:w="2060" w:type="dxa"/>
            <w:tcBorders/>
            <w:vAlign w:val="center"/>
          </w:tcPr>
          <w:p>
            <w:pPr>
              <w:pStyle w:val="TableContents"/>
              <w:bidi w:val="0"/>
              <w:spacing w:before="0" w:after="283"/>
              <w:jc w:val="center"/>
              <w:rPr>
                <w:b/>
              </w:rPr>
            </w:pPr>
            <w:r>
              <w:rPr>
                <w:b/>
              </w:rPr>
              <w:t>Delaware</w:t>
            </w:r>
          </w:p>
        </w:tc>
        <w:tc>
          <w:tcPr>
            <w:tcW w:w="60" w:type="dxa"/>
            <w:tcBorders/>
            <w:vAlign w:val="center"/>
          </w:tcPr>
          <w:p>
            <w:pPr>
              <w:pStyle w:val="TableContents"/>
              <w:bidi w:val="0"/>
              <w:spacing w:before="0" w:after="283"/>
              <w:jc w:val="left"/>
              <w:rPr/>
            </w:pPr>
            <w:r>
              <w:rPr/>
              <w:t> </w:t>
            </w:r>
          </w:p>
        </w:tc>
        <w:tc>
          <w:tcPr>
            <w:tcW w:w="1055" w:type="dxa"/>
            <w:tcBorders/>
            <w:vAlign w:val="center"/>
          </w:tcPr>
          <w:p>
            <w:pPr>
              <w:pStyle w:val="TableContents"/>
              <w:bidi w:val="0"/>
              <w:spacing w:before="0" w:after="283"/>
              <w:jc w:val="center"/>
              <w:rPr>
                <w:b/>
              </w:rPr>
            </w:pPr>
            <w:r>
              <w:rPr>
                <w:b/>
              </w:rPr>
              <w:t>001-36014</w:t>
            </w:r>
          </w:p>
        </w:tc>
        <w:tc>
          <w:tcPr>
            <w:tcW w:w="60" w:type="dxa"/>
            <w:tcBorders/>
            <w:vAlign w:val="center"/>
          </w:tcPr>
          <w:p>
            <w:pPr>
              <w:pStyle w:val="TableContents"/>
              <w:bidi w:val="0"/>
              <w:spacing w:before="0" w:after="283"/>
              <w:jc w:val="left"/>
              <w:rPr/>
            </w:pPr>
            <w:r>
              <w:rPr/>
              <w:t> </w:t>
            </w:r>
          </w:p>
        </w:tc>
        <w:tc>
          <w:tcPr>
            <w:tcW w:w="1370" w:type="dxa"/>
            <w:tcBorders/>
            <w:vAlign w:val="center"/>
          </w:tcPr>
          <w:p>
            <w:pPr>
              <w:pStyle w:val="TableContents"/>
              <w:bidi w:val="0"/>
              <w:spacing w:before="0" w:after="283"/>
              <w:jc w:val="center"/>
              <w:rPr>
                <w:b/>
              </w:rPr>
            </w:pPr>
            <w:r>
              <w:rPr>
                <w:b/>
              </w:rPr>
              <w:t>26-0662915</w:t>
            </w:r>
          </w:p>
        </w:tc>
      </w:tr>
      <w:tr>
        <w:trPr/>
        <w:tc>
          <w:tcPr>
            <w:tcW w:w="2060" w:type="dxa"/>
            <w:tcBorders/>
            <w:vAlign w:val="center"/>
          </w:tcPr>
          <w:p>
            <w:pPr>
              <w:pStyle w:val="TableContents"/>
              <w:bidi w:val="0"/>
              <w:spacing w:before="0" w:after="0"/>
              <w:jc w:val="center"/>
              <w:rPr>
                <w:rFonts w:ascii="Times New Roman" w:hAnsi="Times New Roman"/>
                <w:b/>
                <w:sz w:val="16"/>
              </w:rPr>
            </w:pPr>
            <w:r>
              <w:rPr>
                <w:rFonts w:ascii="Times New Roman" w:hAnsi="Times New Roman"/>
                <w:b/>
                <w:sz w:val="16"/>
              </w:rPr>
              <w:t>(State or Other Jurisdiction</w:t>
            </w:r>
          </w:p>
          <w:p>
            <w:pPr>
              <w:pStyle w:val="TableContents"/>
              <w:bidi w:val="0"/>
              <w:spacing w:before="0" w:after="20"/>
              <w:jc w:val="center"/>
              <w:rPr>
                <w:rFonts w:ascii="Times New Roman" w:hAnsi="Times New Roman"/>
                <w:b/>
                <w:sz w:val="16"/>
              </w:rPr>
            </w:pPr>
            <w:r>
              <w:rPr>
                <w:rFonts w:ascii="Times New Roman" w:hAnsi="Times New Roman"/>
                <w:b/>
                <w:sz w:val="16"/>
              </w:rPr>
              <w:t>of Incorporation)</w:t>
            </w:r>
          </w:p>
        </w:tc>
        <w:tc>
          <w:tcPr>
            <w:tcW w:w="60" w:type="dxa"/>
            <w:tcBorders/>
            <w:vAlign w:val="center"/>
          </w:tcPr>
          <w:p>
            <w:pPr>
              <w:pStyle w:val="TableContents"/>
              <w:bidi w:val="0"/>
              <w:spacing w:before="0" w:after="283"/>
              <w:jc w:val="left"/>
              <w:rPr/>
            </w:pPr>
            <w:r>
              <w:rPr/>
              <w:t> </w:t>
            </w:r>
          </w:p>
        </w:tc>
        <w:tc>
          <w:tcPr>
            <w:tcW w:w="1055" w:type="dxa"/>
            <w:tcBorders/>
            <w:vAlign w:val="center"/>
          </w:tcPr>
          <w:p>
            <w:pPr>
              <w:pStyle w:val="TableContents"/>
              <w:bidi w:val="0"/>
              <w:spacing w:before="0" w:after="0"/>
              <w:jc w:val="center"/>
              <w:rPr>
                <w:rFonts w:ascii="Times New Roman" w:hAnsi="Times New Roman"/>
                <w:b/>
                <w:sz w:val="16"/>
              </w:rPr>
            </w:pPr>
            <w:r>
              <w:rPr>
                <w:rFonts w:ascii="Times New Roman" w:hAnsi="Times New Roman"/>
                <w:b/>
                <w:sz w:val="16"/>
              </w:rPr>
              <w:t>(Commission</w:t>
            </w:r>
          </w:p>
          <w:p>
            <w:pPr>
              <w:pStyle w:val="TableContents"/>
              <w:bidi w:val="0"/>
              <w:spacing w:before="0" w:after="20"/>
              <w:jc w:val="center"/>
              <w:rPr>
                <w:rFonts w:ascii="Times New Roman" w:hAnsi="Times New Roman"/>
                <w:b/>
                <w:sz w:val="16"/>
              </w:rPr>
            </w:pPr>
            <w:r>
              <w:rPr>
                <w:rFonts w:ascii="Times New Roman" w:hAnsi="Times New Roman"/>
                <w:b/>
                <w:sz w:val="16"/>
              </w:rPr>
              <w:t>File Number)</w:t>
            </w:r>
          </w:p>
        </w:tc>
        <w:tc>
          <w:tcPr>
            <w:tcW w:w="60" w:type="dxa"/>
            <w:tcBorders/>
            <w:vAlign w:val="center"/>
          </w:tcPr>
          <w:p>
            <w:pPr>
              <w:pStyle w:val="TableContents"/>
              <w:bidi w:val="0"/>
              <w:spacing w:before="0" w:after="283"/>
              <w:jc w:val="left"/>
              <w:rPr/>
            </w:pPr>
            <w:r>
              <w:rPr/>
              <w:t> </w:t>
            </w:r>
          </w:p>
        </w:tc>
        <w:tc>
          <w:tcPr>
            <w:tcW w:w="1370" w:type="dxa"/>
            <w:tcBorders/>
            <w:vAlign w:val="center"/>
          </w:tcPr>
          <w:p>
            <w:pPr>
              <w:pStyle w:val="TableContents"/>
              <w:bidi w:val="0"/>
              <w:spacing w:before="0" w:after="0"/>
              <w:jc w:val="center"/>
              <w:rPr>
                <w:rFonts w:ascii="Times New Roman" w:hAnsi="Times New Roman"/>
                <w:b/>
                <w:sz w:val="16"/>
              </w:rPr>
            </w:pPr>
            <w:r>
              <w:rPr>
                <w:rFonts w:ascii="Times New Roman" w:hAnsi="Times New Roman"/>
                <w:b/>
                <w:sz w:val="16"/>
              </w:rPr>
              <w:t>(IRS Employer</w:t>
            </w:r>
          </w:p>
          <w:p>
            <w:pPr>
              <w:pStyle w:val="TableContents"/>
              <w:bidi w:val="0"/>
              <w:spacing w:before="0" w:after="20"/>
              <w:jc w:val="center"/>
              <w:rPr>
                <w:rFonts w:ascii="Times New Roman" w:hAnsi="Times New Roman"/>
                <w:b/>
                <w:sz w:val="16"/>
              </w:rPr>
            </w:pPr>
            <w:r>
              <w:rPr>
                <w:rFonts w:ascii="Times New Roman" w:hAnsi="Times New Roman"/>
                <w:b/>
                <w:sz w:val="16"/>
              </w:rPr>
              <w:t>Identification No.)</w:t>
            </w:r>
          </w:p>
        </w:tc>
      </w:tr>
    </w:tbl>
    <w:p>
      <w:pPr>
        <w:pStyle w:val="TextBody"/>
        <w:bidi w:val="0"/>
        <w:spacing w:before="0" w:after="0"/>
        <w:jc w:val="left"/>
        <w:rPr/>
      </w:pPr>
      <w:r>
        <w:rPr/>
        <w:t> </w:t>
      </w:r>
    </w:p>
    <w:tbl>
      <w:tblPr>
        <w:tblW w:w="5275" w:type="dxa"/>
        <w:jc w:val="left"/>
        <w:tblInd w:w="0" w:type="dxa"/>
        <w:tblLayout w:type="fixed"/>
        <w:tblCellMar>
          <w:top w:w="0" w:type="dxa"/>
          <w:left w:w="0" w:type="dxa"/>
          <w:bottom w:w="0" w:type="dxa"/>
          <w:right w:w="0" w:type="dxa"/>
        </w:tblCellMar>
      </w:tblPr>
      <w:tblGrid>
        <w:gridCol w:w="4070"/>
        <w:gridCol w:w="60"/>
        <w:gridCol w:w="1145"/>
      </w:tblGrid>
      <w:tr>
        <w:trPr/>
        <w:tc>
          <w:tcPr>
            <w:tcW w:w="407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45" w:type="dxa"/>
            <w:tcBorders/>
            <w:vAlign w:val="center"/>
          </w:tcPr>
          <w:p>
            <w:pPr>
              <w:pStyle w:val="TableContents"/>
              <w:bidi w:val="0"/>
              <w:spacing w:before="0" w:after="283"/>
              <w:jc w:val="left"/>
              <w:rPr>
                <w:sz w:val="4"/>
                <w:szCs w:val="4"/>
              </w:rPr>
            </w:pPr>
            <w:r>
              <w:rPr>
                <w:sz w:val="4"/>
                <w:szCs w:val="4"/>
              </w:rPr>
            </w:r>
          </w:p>
        </w:tc>
      </w:tr>
      <w:tr>
        <w:trPr/>
        <w:tc>
          <w:tcPr>
            <w:tcW w:w="4070" w:type="dxa"/>
            <w:tcBorders/>
            <w:vAlign w:val="center"/>
          </w:tcPr>
          <w:p>
            <w:pPr>
              <w:pStyle w:val="TableContents"/>
              <w:bidi w:val="0"/>
              <w:spacing w:before="0" w:after="283"/>
              <w:jc w:val="center"/>
              <w:rPr>
                <w:b/>
              </w:rPr>
            </w:pPr>
            <w:r>
              <w:rPr>
                <w:b/>
              </w:rPr>
              <w:t>88 Sidney Street, Cambridge, MA</w:t>
            </w:r>
          </w:p>
        </w:tc>
        <w:tc>
          <w:tcPr>
            <w:tcW w:w="60" w:type="dxa"/>
            <w:tcBorders/>
            <w:vAlign w:val="center"/>
          </w:tcPr>
          <w:p>
            <w:pPr>
              <w:pStyle w:val="TableContents"/>
              <w:bidi w:val="0"/>
              <w:spacing w:before="0" w:after="283"/>
              <w:jc w:val="left"/>
              <w:rPr/>
            </w:pPr>
            <w:r>
              <w:rPr/>
              <w:t> </w:t>
            </w:r>
          </w:p>
        </w:tc>
        <w:tc>
          <w:tcPr>
            <w:tcW w:w="1145" w:type="dxa"/>
            <w:tcBorders/>
            <w:vAlign w:val="center"/>
          </w:tcPr>
          <w:p>
            <w:pPr>
              <w:pStyle w:val="TableContents"/>
              <w:bidi w:val="0"/>
              <w:spacing w:before="0" w:after="283"/>
              <w:jc w:val="center"/>
              <w:rPr>
                <w:b/>
              </w:rPr>
            </w:pPr>
            <w:r>
              <w:rPr>
                <w:b/>
              </w:rPr>
              <w:t>02139</w:t>
            </w:r>
          </w:p>
        </w:tc>
      </w:tr>
      <w:tr>
        <w:trPr/>
        <w:tc>
          <w:tcPr>
            <w:tcW w:w="4070" w:type="dxa"/>
            <w:tcBorders/>
            <w:vAlign w:val="center"/>
          </w:tcPr>
          <w:p>
            <w:pPr>
              <w:pStyle w:val="TableContents"/>
              <w:bidi w:val="0"/>
              <w:spacing w:before="0" w:after="283"/>
              <w:jc w:val="center"/>
              <w:rPr>
                <w:b/>
              </w:rPr>
            </w:pPr>
            <w:r>
              <w:rPr>
                <w:b/>
              </w:rPr>
              <w:t>(Address of Principal Executive Offices)</w:t>
            </w:r>
          </w:p>
        </w:tc>
        <w:tc>
          <w:tcPr>
            <w:tcW w:w="60" w:type="dxa"/>
            <w:tcBorders/>
            <w:vAlign w:val="center"/>
          </w:tcPr>
          <w:p>
            <w:pPr>
              <w:pStyle w:val="TableContents"/>
              <w:bidi w:val="0"/>
              <w:spacing w:before="0" w:after="283"/>
              <w:jc w:val="left"/>
              <w:rPr/>
            </w:pPr>
            <w:r>
              <w:rPr/>
              <w:t> </w:t>
            </w:r>
          </w:p>
        </w:tc>
        <w:tc>
          <w:tcPr>
            <w:tcW w:w="1145" w:type="dxa"/>
            <w:tcBorders/>
            <w:vAlign w:val="center"/>
          </w:tcPr>
          <w:p>
            <w:pPr>
              <w:pStyle w:val="TableContents"/>
              <w:bidi w:val="0"/>
              <w:spacing w:before="0" w:after="283"/>
              <w:jc w:val="center"/>
              <w:rPr>
                <w:b/>
              </w:rPr>
            </w:pPr>
            <w:r>
              <w:rPr>
                <w:b/>
              </w:rPr>
              <w:t>(Zip Code)</w:t>
            </w:r>
          </w:p>
        </w:tc>
      </w:tr>
    </w:tbl>
    <w:p>
      <w:pPr>
        <w:pStyle w:val="TextBody"/>
        <w:bidi w:val="0"/>
        <w:spacing w:before="200" w:after="0"/>
        <w:jc w:val="center"/>
        <w:rPr>
          <w:rFonts w:ascii="Times New Roman" w:hAnsi="Times New Roman"/>
          <w:b/>
          <w:sz w:val="20"/>
        </w:rPr>
      </w:pPr>
      <w:r>
        <w:rPr>
          <w:rFonts w:ascii="Times New Roman" w:hAnsi="Times New Roman"/>
          <w:b/>
          <w:sz w:val="20"/>
        </w:rPr>
        <w:t>Registrant’s telephone number, including area code: (617) 649-8600</w:t>
      </w:r>
    </w:p>
    <w:p>
      <w:pPr>
        <w:pStyle w:val="TextBody"/>
        <w:bidi w:val="0"/>
        <w:spacing w:before="200" w:after="0"/>
        <w:jc w:val="center"/>
        <w:rPr>
          <w:rFonts w:ascii="Times New Roman" w:hAnsi="Times New Roman"/>
          <w:b/>
          <w:sz w:val="16"/>
        </w:rPr>
      </w:pPr>
      <w:r>
        <w:rPr>
          <w:rFonts w:ascii="Times New Roman" w:hAnsi="Times New Roman"/>
          <w:b/>
          <w:sz w:val="16"/>
        </w:rPr>
        <w:t>(Former Name or Former Address, if Changed Since Last Report)</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00" w:after="0"/>
        <w:jc w:val="left"/>
        <w:rPr>
          <w:rFonts w:ascii="Times New Roman" w:hAnsi="Times New Roman"/>
          <w:sz w:val="20"/>
        </w:rPr>
      </w:pPr>
      <w:r>
        <w:rPr>
          <w:rFonts w:ascii="Times New Roman" w:hAnsi="Times New Roman"/>
          <w:sz w:val="20"/>
        </w:rPr>
        <w:t>Check the appropriate box below if the Form 8-K filing is intended to simultaneously satisfy the filing obligation of the registrant under any of the following provisions (</w:t>
      </w:r>
      <w:r>
        <w:rPr>
          <w:rFonts w:ascii="Times New Roman" w:hAnsi="Times New Roman"/>
          <w:i/>
          <w:sz w:val="20"/>
        </w:rPr>
        <w:t>see</w:t>
      </w:r>
      <w:r>
        <w:rPr>
          <w:rFonts w:ascii="Times New Roman" w:hAnsi="Times New Roman"/>
          <w:sz w:val="20"/>
        </w:rPr>
        <w:t xml:space="preserve"> General Instruction A.2. below):</w:t>
      </w:r>
    </w:p>
    <w:p>
      <w:pPr>
        <w:pStyle w:val="TextBody"/>
        <w:bidi w:val="0"/>
        <w:spacing w:before="0" w:after="0"/>
        <w:jc w:val="left"/>
        <w:rPr/>
      </w:pPr>
      <w:r>
        <w:rPr/>
        <w:t> </w:t>
      </w:r>
    </w:p>
    <w:tbl>
      <w:tblPr>
        <w:tblW w:w="7540" w:type="dxa"/>
        <w:jc w:val="left"/>
        <w:tblInd w:w="0" w:type="dxa"/>
        <w:tblLayout w:type="fixed"/>
        <w:tblCellMar>
          <w:top w:w="0" w:type="dxa"/>
          <w:left w:w="0" w:type="dxa"/>
          <w:bottom w:w="0" w:type="dxa"/>
          <w:right w:w="0" w:type="dxa"/>
        </w:tblCellMar>
      </w:tblPr>
      <w:tblGrid>
        <w:gridCol w:w="245"/>
        <w:gridCol w:w="7295"/>
      </w:tblGrid>
      <w:tr>
        <w:trPr/>
        <w:tc>
          <w:tcPr>
            <w:tcW w:w="245" w:type="dxa"/>
            <w:tcBorders/>
            <w:vAlign w:val="center"/>
          </w:tcPr>
          <w:p>
            <w:pPr>
              <w:pStyle w:val="TableContents"/>
              <w:bidi w:val="0"/>
              <w:spacing w:before="0" w:after="283"/>
              <w:jc w:val="left"/>
              <w:rPr/>
            </w:pPr>
            <w:r>
              <w:rPr/>
              <w:t>☐</w:t>
            </w:r>
          </w:p>
        </w:tc>
        <w:tc>
          <w:tcPr>
            <w:tcW w:w="729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Written communications pursuant to Rule 425 under the Securities Act (17 CFR 230.425)</w:t>
            </w:r>
          </w:p>
        </w:tc>
      </w:tr>
    </w:tbl>
    <w:p>
      <w:pPr>
        <w:pStyle w:val="TextBody"/>
        <w:bidi w:val="0"/>
        <w:spacing w:before="0" w:after="0"/>
        <w:jc w:val="left"/>
        <w:rPr/>
      </w:pPr>
      <w:r>
        <w:rPr/>
        <w:t> </w:t>
      </w:r>
    </w:p>
    <w:tbl>
      <w:tblPr>
        <w:tblW w:w="7570" w:type="dxa"/>
        <w:jc w:val="left"/>
        <w:tblInd w:w="0" w:type="dxa"/>
        <w:tblLayout w:type="fixed"/>
        <w:tblCellMar>
          <w:top w:w="0" w:type="dxa"/>
          <w:left w:w="0" w:type="dxa"/>
          <w:bottom w:w="0" w:type="dxa"/>
          <w:right w:w="0" w:type="dxa"/>
        </w:tblCellMar>
      </w:tblPr>
      <w:tblGrid>
        <w:gridCol w:w="245"/>
        <w:gridCol w:w="7325"/>
      </w:tblGrid>
      <w:tr>
        <w:trPr/>
        <w:tc>
          <w:tcPr>
            <w:tcW w:w="245" w:type="dxa"/>
            <w:tcBorders/>
            <w:vAlign w:val="center"/>
          </w:tcPr>
          <w:p>
            <w:pPr>
              <w:pStyle w:val="TableContents"/>
              <w:bidi w:val="0"/>
              <w:spacing w:before="0" w:after="283"/>
              <w:jc w:val="left"/>
              <w:rPr/>
            </w:pPr>
            <w:r>
              <w:rPr/>
              <w:t>☐</w:t>
            </w:r>
          </w:p>
        </w:tc>
        <w:tc>
          <w:tcPr>
            <w:tcW w:w="732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Soliciting material pursuant to Rule 14a-12 under the Exchange Act (17 CFR 240.14a-12)</w:t>
            </w:r>
          </w:p>
        </w:tc>
      </w:tr>
    </w:tbl>
    <w:p>
      <w:pPr>
        <w:pStyle w:val="TextBody"/>
        <w:bidi w:val="0"/>
        <w:spacing w:before="0" w:after="0"/>
        <w:jc w:val="left"/>
        <w:rPr/>
      </w:pPr>
      <w:r>
        <w:rPr/>
        <w:t> </w:t>
      </w:r>
    </w:p>
    <w:tbl>
      <w:tblPr>
        <w:tblW w:w="9310" w:type="dxa"/>
        <w:jc w:val="left"/>
        <w:tblInd w:w="0" w:type="dxa"/>
        <w:tblLayout w:type="fixed"/>
        <w:tblCellMar>
          <w:top w:w="0" w:type="dxa"/>
          <w:left w:w="0" w:type="dxa"/>
          <w:bottom w:w="0" w:type="dxa"/>
          <w:right w:w="0" w:type="dxa"/>
        </w:tblCellMar>
      </w:tblPr>
      <w:tblGrid>
        <w:gridCol w:w="245"/>
        <w:gridCol w:w="9065"/>
      </w:tblGrid>
      <w:tr>
        <w:trPr/>
        <w:tc>
          <w:tcPr>
            <w:tcW w:w="245" w:type="dxa"/>
            <w:tcBorders/>
            <w:vAlign w:val="center"/>
          </w:tcPr>
          <w:p>
            <w:pPr>
              <w:pStyle w:val="TableContents"/>
              <w:bidi w:val="0"/>
              <w:spacing w:before="0" w:after="283"/>
              <w:jc w:val="left"/>
              <w:rPr/>
            </w:pPr>
            <w:r>
              <w:rPr/>
              <w:t>☐</w:t>
            </w:r>
          </w:p>
        </w:tc>
        <w:tc>
          <w:tcPr>
            <w:tcW w:w="906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Pre-commencement communications pursuant to Rule 14d-2(b) under the Exchange Act (17 CFR 240.14d-2(b))</w:t>
            </w:r>
          </w:p>
        </w:tc>
      </w:tr>
    </w:tbl>
    <w:p>
      <w:pPr>
        <w:pStyle w:val="TextBody"/>
        <w:bidi w:val="0"/>
        <w:spacing w:before="0" w:after="0"/>
        <w:jc w:val="left"/>
        <w:rPr/>
      </w:pPr>
      <w:r>
        <w:rPr/>
        <w:t> </w:t>
      </w:r>
    </w:p>
    <w:tbl>
      <w:tblPr>
        <w:tblW w:w="9250" w:type="dxa"/>
        <w:jc w:val="left"/>
        <w:tblInd w:w="0" w:type="dxa"/>
        <w:tblLayout w:type="fixed"/>
        <w:tblCellMar>
          <w:top w:w="0" w:type="dxa"/>
          <w:left w:w="0" w:type="dxa"/>
          <w:bottom w:w="0" w:type="dxa"/>
          <w:right w:w="0" w:type="dxa"/>
        </w:tblCellMar>
      </w:tblPr>
      <w:tblGrid>
        <w:gridCol w:w="245"/>
        <w:gridCol w:w="9005"/>
      </w:tblGrid>
      <w:tr>
        <w:trPr/>
        <w:tc>
          <w:tcPr>
            <w:tcW w:w="245" w:type="dxa"/>
            <w:tcBorders/>
            <w:vAlign w:val="center"/>
          </w:tcPr>
          <w:p>
            <w:pPr>
              <w:pStyle w:val="TableContents"/>
              <w:bidi w:val="0"/>
              <w:spacing w:before="0" w:after="283"/>
              <w:jc w:val="left"/>
              <w:rPr/>
            </w:pPr>
            <w:r>
              <w:rPr/>
              <w:t>☐</w:t>
            </w:r>
          </w:p>
        </w:tc>
        <w:tc>
          <w:tcPr>
            <w:tcW w:w="900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Pre-commencement communications pursuant to Rule 13e-4(c) under the Exchange Act (17 CFR 240.13e-4(c))</w:t>
            </w:r>
          </w:p>
        </w:tc>
      </w:tr>
    </w:tbl>
    <w:p>
      <w:pPr>
        <w:pStyle w:val="TextBody"/>
        <w:bidi w:val="0"/>
        <w:spacing w:before="200" w:after="0"/>
        <w:jc w:val="left"/>
        <w:rPr>
          <w:rFonts w:ascii="Times New Roman" w:hAnsi="Times New Roman"/>
          <w:sz w:val="20"/>
        </w:rPr>
      </w:pPr>
      <w:r>
        <w:rPr>
          <w:rFonts w:ascii="Times New Roman" w:hAnsi="Times New Roman"/>
          <w:sz w:val="20"/>
        </w:rPr>
        <w:t>Securities registered pursuant to Section 12(b) of the Act:</w:t>
      </w:r>
    </w:p>
    <w:p>
      <w:pPr>
        <w:pStyle w:val="TextBody"/>
        <w:bidi w:val="0"/>
        <w:spacing w:before="0" w:after="0"/>
        <w:jc w:val="left"/>
        <w:rPr/>
      </w:pPr>
      <w:r>
        <w:rPr/>
        <w:t> </w:t>
      </w:r>
    </w:p>
    <w:tbl>
      <w:tblPr>
        <w:tblW w:w="7875" w:type="dxa"/>
        <w:jc w:val="left"/>
        <w:tblInd w:w="0" w:type="dxa"/>
        <w:tblLayout w:type="fixed"/>
        <w:tblCellMar>
          <w:top w:w="0" w:type="dxa"/>
          <w:left w:w="0" w:type="dxa"/>
          <w:bottom w:w="0" w:type="dxa"/>
          <w:right w:w="0" w:type="dxa"/>
        </w:tblCellMar>
      </w:tblPr>
      <w:tblGrid>
        <w:gridCol w:w="4220"/>
        <w:gridCol w:w="60"/>
        <w:gridCol w:w="710"/>
        <w:gridCol w:w="60"/>
        <w:gridCol w:w="2825"/>
      </w:tblGrid>
      <w:tr>
        <w:trPr/>
        <w:tc>
          <w:tcPr>
            <w:tcW w:w="42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71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825" w:type="dxa"/>
            <w:tcBorders/>
            <w:vAlign w:val="center"/>
          </w:tcPr>
          <w:p>
            <w:pPr>
              <w:pStyle w:val="TableContents"/>
              <w:bidi w:val="0"/>
              <w:spacing w:before="0" w:after="283"/>
              <w:jc w:val="left"/>
              <w:rPr>
                <w:sz w:val="4"/>
                <w:szCs w:val="4"/>
              </w:rPr>
            </w:pPr>
            <w:r>
              <w:rPr>
                <w:sz w:val="4"/>
                <w:szCs w:val="4"/>
              </w:rPr>
            </w:r>
          </w:p>
        </w:tc>
      </w:tr>
      <w:tr>
        <w:trPr/>
        <w:tc>
          <w:tcPr>
            <w:tcW w:w="4220"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6"/>
              </w:rPr>
            </w:pPr>
            <w:r>
              <w:rPr>
                <w:rFonts w:ascii="Times New Roman" w:hAnsi="Times New Roman"/>
                <w:b/>
                <w:sz w:val="16"/>
              </w:rPr>
              <w:t>Title of each class</w:t>
            </w:r>
          </w:p>
        </w:tc>
        <w:tc>
          <w:tcPr>
            <w:tcW w:w="60" w:type="dxa"/>
            <w:tcBorders/>
            <w:vAlign w:val="center"/>
          </w:tcPr>
          <w:p>
            <w:pPr>
              <w:pStyle w:val="TableContents"/>
              <w:bidi w:val="0"/>
              <w:spacing w:before="0" w:after="283"/>
              <w:jc w:val="left"/>
              <w:rPr/>
            </w:pPr>
            <w:r>
              <w:rPr/>
              <w:t> </w:t>
            </w:r>
          </w:p>
        </w:tc>
        <w:tc>
          <w:tcPr>
            <w:tcW w:w="710" w:type="dxa"/>
            <w:tcBorders>
              <w:bottom w:val="single" w:sz="8" w:space="0" w:color="000000"/>
            </w:tcBorders>
            <w:tcMar>
              <w:bottom w:w="28" w:type="dxa"/>
            </w:tcMar>
            <w:vAlign w:val="center"/>
          </w:tcPr>
          <w:p>
            <w:pPr>
              <w:pStyle w:val="TableContents"/>
              <w:bidi w:val="0"/>
              <w:spacing w:before="0" w:after="0"/>
              <w:jc w:val="center"/>
              <w:rPr>
                <w:rFonts w:ascii="Times New Roman" w:hAnsi="Times New Roman"/>
                <w:b/>
                <w:sz w:val="16"/>
              </w:rPr>
            </w:pPr>
            <w:r>
              <w:rPr>
                <w:rFonts w:ascii="Times New Roman" w:hAnsi="Times New Roman"/>
                <w:b/>
                <w:sz w:val="16"/>
              </w:rPr>
              <w:t>Trading</w:t>
            </w:r>
          </w:p>
          <w:p>
            <w:pPr>
              <w:pStyle w:val="TableContents"/>
              <w:bidi w:val="0"/>
              <w:spacing w:before="0" w:after="20"/>
              <w:jc w:val="center"/>
              <w:rPr>
                <w:rFonts w:ascii="Times New Roman" w:hAnsi="Times New Roman"/>
                <w:b/>
                <w:sz w:val="16"/>
              </w:rPr>
            </w:pPr>
            <w:r>
              <w:rPr>
                <w:rFonts w:ascii="Times New Roman" w:hAnsi="Times New Roman"/>
                <w:b/>
                <w:sz w:val="16"/>
              </w:rPr>
              <w:t>symbol(s)</w:t>
            </w:r>
          </w:p>
        </w:tc>
        <w:tc>
          <w:tcPr>
            <w:tcW w:w="60" w:type="dxa"/>
            <w:tcBorders/>
            <w:vAlign w:val="center"/>
          </w:tcPr>
          <w:p>
            <w:pPr>
              <w:pStyle w:val="TableContents"/>
              <w:bidi w:val="0"/>
              <w:spacing w:before="0" w:after="283"/>
              <w:jc w:val="left"/>
              <w:rPr/>
            </w:pPr>
            <w:r>
              <w:rPr/>
              <w:t> </w:t>
            </w:r>
          </w:p>
        </w:tc>
        <w:tc>
          <w:tcPr>
            <w:tcW w:w="2825" w:type="dxa"/>
            <w:tcBorders>
              <w:bottom w:val="single" w:sz="8" w:space="0" w:color="000000"/>
            </w:tcBorders>
            <w:tcMar>
              <w:bottom w:w="28" w:type="dxa"/>
            </w:tcMar>
            <w:vAlign w:val="center"/>
          </w:tcPr>
          <w:p>
            <w:pPr>
              <w:pStyle w:val="TableContents"/>
              <w:bidi w:val="0"/>
              <w:spacing w:before="0" w:after="0"/>
              <w:jc w:val="center"/>
              <w:rPr>
                <w:rFonts w:ascii="Times New Roman" w:hAnsi="Times New Roman"/>
                <w:b/>
                <w:sz w:val="16"/>
              </w:rPr>
            </w:pPr>
            <w:r>
              <w:rPr>
                <w:rFonts w:ascii="Times New Roman" w:hAnsi="Times New Roman"/>
                <w:b/>
                <w:sz w:val="16"/>
              </w:rPr>
              <w:t>Name of each exchange</w:t>
            </w:r>
          </w:p>
          <w:p>
            <w:pPr>
              <w:pStyle w:val="TableContents"/>
              <w:bidi w:val="0"/>
              <w:spacing w:before="0" w:after="20"/>
              <w:jc w:val="center"/>
              <w:rPr>
                <w:rFonts w:ascii="Times New Roman" w:hAnsi="Times New Roman"/>
                <w:b/>
                <w:sz w:val="16"/>
              </w:rPr>
            </w:pPr>
            <w:r>
              <w:rPr>
                <w:rFonts w:ascii="Times New Roman" w:hAnsi="Times New Roman"/>
                <w:b/>
                <w:sz w:val="16"/>
              </w:rPr>
              <w:t>on which registered</w:t>
            </w:r>
          </w:p>
        </w:tc>
      </w:tr>
      <w:tr>
        <w:trPr/>
        <w:tc>
          <w:tcPr>
            <w:tcW w:w="4220" w:type="dxa"/>
            <w:tcBorders/>
            <w:vAlign w:val="center"/>
          </w:tcPr>
          <w:p>
            <w:pPr>
              <w:pStyle w:val="TableContents"/>
              <w:bidi w:val="0"/>
              <w:spacing w:before="0" w:after="283"/>
              <w:jc w:val="center"/>
              <w:rPr/>
            </w:pPr>
            <w:r>
              <w:rPr/>
              <w:t>Common Stock, Par Value $0.001 per share</w:t>
            </w:r>
          </w:p>
        </w:tc>
        <w:tc>
          <w:tcPr>
            <w:tcW w:w="60" w:type="dxa"/>
            <w:tcBorders/>
            <w:vAlign w:val="center"/>
          </w:tcPr>
          <w:p>
            <w:pPr>
              <w:pStyle w:val="TableContents"/>
              <w:bidi w:val="0"/>
              <w:spacing w:before="0" w:after="283"/>
              <w:jc w:val="left"/>
              <w:rPr/>
            </w:pPr>
            <w:r>
              <w:rPr/>
              <w:t> </w:t>
            </w:r>
          </w:p>
        </w:tc>
        <w:tc>
          <w:tcPr>
            <w:tcW w:w="710" w:type="dxa"/>
            <w:tcBorders/>
            <w:vAlign w:val="center"/>
          </w:tcPr>
          <w:p>
            <w:pPr>
              <w:pStyle w:val="TableContents"/>
              <w:bidi w:val="0"/>
              <w:spacing w:before="0" w:after="283"/>
              <w:jc w:val="center"/>
              <w:rPr/>
            </w:pPr>
            <w:r>
              <w:rPr/>
              <w:t>AGIO</w:t>
            </w:r>
          </w:p>
        </w:tc>
        <w:tc>
          <w:tcPr>
            <w:tcW w:w="60" w:type="dxa"/>
            <w:tcBorders/>
            <w:vAlign w:val="center"/>
          </w:tcPr>
          <w:p>
            <w:pPr>
              <w:pStyle w:val="TableContents"/>
              <w:bidi w:val="0"/>
              <w:spacing w:before="0" w:after="283"/>
              <w:jc w:val="left"/>
              <w:rPr/>
            </w:pPr>
            <w:r>
              <w:rPr/>
              <w:t> </w:t>
            </w:r>
          </w:p>
        </w:tc>
        <w:tc>
          <w:tcPr>
            <w:tcW w:w="2825" w:type="dxa"/>
            <w:tcBorders/>
            <w:vAlign w:val="center"/>
          </w:tcPr>
          <w:p>
            <w:pPr>
              <w:pStyle w:val="TableContents"/>
              <w:bidi w:val="0"/>
              <w:spacing w:before="0" w:after="283"/>
              <w:jc w:val="center"/>
              <w:rPr/>
            </w:pPr>
            <w:r>
              <w:rPr/>
              <w:t>Nasdaq Global Select Market</w:t>
            </w:r>
          </w:p>
        </w:tc>
      </w:tr>
    </w:tbl>
    <w:p>
      <w:pPr>
        <w:pStyle w:val="TextBody"/>
        <w:bidi w:val="0"/>
        <w:spacing w:before="200" w:after="0"/>
        <w:jc w:val="left"/>
        <w:rPr>
          <w:rFonts w:ascii="Times New Roman" w:hAnsi="Times New Roman"/>
          <w:sz w:val="20"/>
        </w:rPr>
      </w:pPr>
      <w:r>
        <w:rPr>
          <w:rFonts w:ascii="Times New Roman" w:hAnsi="Times New Roman"/>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before="200" w:after="0"/>
        <w:jc w:val="left"/>
        <w:rPr>
          <w:rFonts w:ascii="Times New Roman" w:hAnsi="Times New Roman"/>
          <w:sz w:val="20"/>
        </w:rPr>
      </w:pPr>
      <w:r>
        <w:rPr>
          <w:rFonts w:ascii="Times New Roman" w:hAnsi="Times New Roman"/>
          <w:sz w:val="20"/>
        </w:rPr>
        <w:t>Emerging growth company ☐</w:t>
      </w:r>
    </w:p>
    <w:p>
      <w:pPr>
        <w:pStyle w:val="TextBody"/>
        <w:bidi w:val="0"/>
        <w:spacing w:before="200" w:after="0"/>
        <w:jc w:val="left"/>
        <w:rPr>
          <w:rFonts w:ascii="Times New Roman" w:hAnsi="Times New Roman"/>
          <w:sz w:val="20"/>
        </w:rPr>
      </w:pPr>
      <w:r>
        <w:rPr>
          <w:rFonts w:ascii="Times New Roman" w:hAnsi="Times New Roman"/>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jc w:val="left"/>
        <w:rPr/>
      </w:pPr>
      <w:r>
        <w:rPr/>
        <w:t> </w:t>
      </w:r>
    </w:p>
    <w:p>
      <w:pPr>
        <w:pStyle w:val="TextBody"/>
        <w:bidi w:val="0"/>
        <w:spacing w:lineRule="atLeast" w:line="142" w:before="0" w:after="0"/>
        <w:jc w:val="left"/>
        <w:rPr>
          <w:bdr w:val="single" w:sz="2" w:space="1" w:color="000000"/>
        </w:rPr>
      </w:pPr>
      <w:r>
        <w:rPr>
          <w:bdr w:val="single" w:sz="2" w:space="1" w:color="000000"/>
        </w:rPr>
        <w:t> </w:t>
      </w:r>
    </w:p>
    <w:p>
      <w:pPr>
        <w:pStyle w:val="TextBody"/>
        <w:bidi w:val="0"/>
        <w:spacing w:lineRule="atLeast" w:line="142" w:before="0" w:after="40"/>
        <w:jc w:val="left"/>
        <w:rPr>
          <w:bdr w:val="single" w:sz="2" w:space="1" w:color="000000"/>
        </w:rPr>
      </w:pPr>
      <w:r>
        <w:rPr>
          <w:bdr w:val="single" w:sz="2" w:space="1" w:color="000000"/>
        </w:rPr>
        <w:t> </w:t>
      </w:r>
      <w:r>
        <w:br w:type="page"/>
      </w:r>
    </w:p>
    <w:p>
      <w:pPr>
        <w:pStyle w:val="HorizontalLine"/>
        <w:bidi w:val="0"/>
        <w:jc w:val="left"/>
        <w:rPr/>
      </w:pPr>
      <w:r>
        <w:rPr/>
      </w:r>
    </w:p>
    <w:tbl>
      <w:tblPr>
        <w:tblW w:w="10205" w:type="dxa"/>
        <w:jc w:val="left"/>
        <w:tblInd w:w="0" w:type="dxa"/>
        <w:tblLayout w:type="fixed"/>
        <w:tblCellMar>
          <w:top w:w="0" w:type="dxa"/>
          <w:left w:w="0" w:type="dxa"/>
          <w:bottom w:w="0" w:type="dxa"/>
          <w:right w:w="0" w:type="dxa"/>
        </w:tblCellMar>
      </w:tblPr>
      <w:tblGrid>
        <w:gridCol w:w="886"/>
        <w:gridCol w:w="9319"/>
      </w:tblGrid>
      <w:tr>
        <w:trPr/>
        <w:tc>
          <w:tcPr>
            <w:tcW w:w="886" w:type="dxa"/>
            <w:tcBorders/>
            <w:vAlign w:val="center"/>
          </w:tcPr>
          <w:p>
            <w:pPr>
              <w:pStyle w:val="TableContents"/>
              <w:bidi w:val="0"/>
              <w:spacing w:before="0" w:after="283"/>
              <w:jc w:val="left"/>
              <w:rPr>
                <w:b/>
              </w:rPr>
            </w:pPr>
            <w:r>
              <w:rPr>
                <w:b/>
              </w:rPr>
              <w:t>Item 5.02.</w:t>
            </w:r>
          </w:p>
        </w:tc>
        <w:tc>
          <w:tcPr>
            <w:tcW w:w="9319"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 xml:space="preserve">Departure of Directors or Certain Officers; Election of Directors; Appointment of Certain Officers; Compensatory Arrangements of Certain Officers. </w:t>
            </w:r>
          </w:p>
        </w:tc>
      </w:tr>
    </w:tbl>
    <w:p>
      <w:pPr>
        <w:pStyle w:val="TextBody"/>
        <w:bidi w:val="0"/>
        <w:spacing w:before="120" w:after="0"/>
        <w:jc w:val="left"/>
        <w:rPr>
          <w:rFonts w:ascii="Times New Roman" w:hAnsi="Times New Roman"/>
          <w:sz w:val="20"/>
        </w:rPr>
      </w:pPr>
      <w:r>
        <w:rPr>
          <w:rFonts w:ascii="Times New Roman" w:hAnsi="Times New Roman"/>
          <w:sz w:val="20"/>
        </w:rPr>
        <w:t xml:space="preserve">At the 2026 Annual Meeting of Stockholders of Agios Pharmaceuticals, Inc. (the “Company”) held on June 18, 2026 (the “Annual Meeting”), the Company’s stockholders approved an amendment (the “2023 Plan Amendment”) to the Agios Pharmaceuticals, Inc. 2023 Stock Incentive Plan (the “Current Plan”). The 2023 Plan Amendment, which had previously been adopted by the Company’s board of directors (the “Board”) subject to stockholder approval, increases the number of shares of common stock of the Company available for issuance under the Current Plan by 2,000,000 shares and increases the number of shares of common stock of the Company that may be issued as incentive stock options by the same number. </w:t>
      </w:r>
    </w:p>
    <w:p>
      <w:pPr>
        <w:pStyle w:val="TextBody"/>
        <w:bidi w:val="0"/>
        <w:spacing w:before="240" w:after="0"/>
        <w:jc w:val="left"/>
        <w:rPr/>
      </w:pPr>
      <w:r>
        <w:rPr>
          <w:rFonts w:ascii="Times New Roman" w:hAnsi="Times New Roman"/>
          <w:sz w:val="20"/>
        </w:rPr>
        <w:t xml:space="preserve">The description of the Current Plan, as amended by the 2023 Plan Amendment, contained on pages 90 to 103 of the Company’s </w:t>
      </w:r>
      <w:hyperlink r:id="rId2">
        <w:r>
          <w:rPr>
            <w:rStyle w:val="InternetLink"/>
            <w:rFonts w:ascii="Times New Roman" w:hAnsi="Times New Roman"/>
            <w:sz w:val="20"/>
          </w:rPr>
          <w:t>definitive proxy statement</w:t>
        </w:r>
      </w:hyperlink>
      <w:r>
        <w:rPr>
          <w:rFonts w:ascii="Times New Roman" w:hAnsi="Times New Roman"/>
          <w:sz w:val="20"/>
        </w:rPr>
        <w:t xml:space="preserve"> for the Annual Meeting, filed with the Securities and Exchange Commission (the “SEC”) on April 24, 2026, is incorporated herein by reference. A complete copy of the Agios Pharmaceuticals, Inc. 2023 Stock Incentive Plan, as amended, is attached hereto as Exhibit 99.1 and is incorporated herein by reference. </w:t>
      </w:r>
    </w:p>
    <w:p>
      <w:pPr>
        <w:pStyle w:val="TextBody"/>
        <w:bidi w:val="0"/>
        <w:spacing w:before="0" w:after="0"/>
        <w:jc w:val="left"/>
        <w:rPr/>
      </w:pPr>
      <w:r>
        <w:rPr/>
        <w:t> </w:t>
      </w:r>
    </w:p>
    <w:tbl>
      <w:tblPr>
        <w:tblW w:w="5500" w:type="dxa"/>
        <w:jc w:val="left"/>
        <w:tblInd w:w="0" w:type="dxa"/>
        <w:tblLayout w:type="fixed"/>
        <w:tblCellMar>
          <w:top w:w="0" w:type="dxa"/>
          <w:left w:w="0" w:type="dxa"/>
          <w:bottom w:w="0" w:type="dxa"/>
          <w:right w:w="0" w:type="dxa"/>
        </w:tblCellMar>
      </w:tblPr>
      <w:tblGrid>
        <w:gridCol w:w="1025"/>
        <w:gridCol w:w="4475"/>
      </w:tblGrid>
      <w:tr>
        <w:trPr/>
        <w:tc>
          <w:tcPr>
            <w:tcW w:w="1025" w:type="dxa"/>
            <w:tcBorders/>
            <w:vAlign w:val="center"/>
          </w:tcPr>
          <w:p>
            <w:pPr>
              <w:pStyle w:val="TableContents"/>
              <w:bidi w:val="0"/>
              <w:spacing w:before="0" w:after="283"/>
              <w:jc w:val="left"/>
              <w:rPr>
                <w:b/>
              </w:rPr>
            </w:pPr>
            <w:r>
              <w:rPr>
                <w:b/>
              </w:rPr>
              <w:t>Item 5.07.</w:t>
            </w:r>
          </w:p>
        </w:tc>
        <w:tc>
          <w:tcPr>
            <w:tcW w:w="4475"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 xml:space="preserve">Submission of Matters to a Vote of Security Holders. </w:t>
            </w:r>
          </w:p>
        </w:tc>
      </w:tr>
    </w:tbl>
    <w:p>
      <w:pPr>
        <w:pStyle w:val="TextBody"/>
        <w:bidi w:val="0"/>
        <w:spacing w:before="120" w:after="0"/>
        <w:jc w:val="left"/>
        <w:rPr>
          <w:rFonts w:ascii="Times New Roman" w:hAnsi="Times New Roman"/>
          <w:sz w:val="20"/>
        </w:rPr>
      </w:pPr>
      <w:r>
        <w:rPr>
          <w:rFonts w:ascii="Times New Roman" w:hAnsi="Times New Roman"/>
          <w:sz w:val="20"/>
        </w:rPr>
        <w:t xml:space="preserve">The following is a summary of the matters voted on at the Annual Meeting.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173"/>
        <w:gridCol w:w="10032"/>
      </w:tblGrid>
      <w:tr>
        <w:trPr/>
        <w:tc>
          <w:tcPr>
            <w:tcW w:w="173" w:type="dxa"/>
            <w:tcBorders/>
            <w:vAlign w:val="center"/>
          </w:tcPr>
          <w:p>
            <w:pPr>
              <w:pStyle w:val="TableContents"/>
              <w:bidi w:val="0"/>
              <w:spacing w:before="0" w:after="283"/>
              <w:jc w:val="left"/>
              <w:rPr/>
            </w:pPr>
            <w:r>
              <w:rPr/>
              <w:t>1.</w:t>
            </w:r>
          </w:p>
        </w:tc>
        <w:tc>
          <w:tcPr>
            <w:tcW w:w="10032"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Company’s stockholders elected Rahul Ballal, Ph.D., Brian Goff and Cynthia Smith as Class I directors, each to serve for a three-year term expiring at the 2029 Annual Meeting of Stockholders and until his or her successor has been duly elected and qualified. The results of the stockholders’ vote with respect to the election of such Class I directors were as follows: </w:t>
            </w:r>
          </w:p>
        </w:tc>
      </w:tr>
    </w:tbl>
    <w:p>
      <w:pPr>
        <w:pStyle w:val="TextBody"/>
        <w:bidi w:val="0"/>
        <w:spacing w:before="0" w:after="0"/>
        <w:jc w:val="left"/>
        <w:rPr/>
      </w:pPr>
      <w:r>
        <w:rPr/>
        <w:t> </w:t>
      </w:r>
    </w:p>
    <w:tbl>
      <w:tblPr>
        <w:tblW w:w="5270" w:type="dxa"/>
        <w:jc w:val="left"/>
        <w:tblInd w:w="0" w:type="dxa"/>
        <w:tblLayout w:type="fixed"/>
        <w:tblCellMar>
          <w:top w:w="0" w:type="dxa"/>
          <w:left w:w="0" w:type="dxa"/>
          <w:bottom w:w="0" w:type="dxa"/>
          <w:right w:w="0" w:type="dxa"/>
        </w:tblCellMar>
      </w:tblPr>
      <w:tblGrid>
        <w:gridCol w:w="1595"/>
        <w:gridCol w:w="120"/>
        <w:gridCol w:w="1100"/>
        <w:gridCol w:w="120"/>
        <w:gridCol w:w="1100"/>
        <w:gridCol w:w="120"/>
        <w:gridCol w:w="1115"/>
      </w:tblGrid>
      <w:tr>
        <w:trPr/>
        <w:tc>
          <w:tcPr>
            <w:tcW w:w="159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10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10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115" w:type="dxa"/>
            <w:tcBorders/>
            <w:vAlign w:val="center"/>
          </w:tcPr>
          <w:p>
            <w:pPr>
              <w:pStyle w:val="TableContents"/>
              <w:bidi w:val="0"/>
              <w:spacing w:before="0" w:after="283"/>
              <w:jc w:val="left"/>
              <w:rPr>
                <w:sz w:val="4"/>
                <w:szCs w:val="4"/>
              </w:rPr>
            </w:pPr>
            <w:r>
              <w:rPr>
                <w:sz w:val="4"/>
                <w:szCs w:val="4"/>
              </w:rPr>
            </w:r>
          </w:p>
        </w:tc>
      </w:tr>
      <w:tr>
        <w:trPr/>
        <w:tc>
          <w:tcPr>
            <w:tcW w:w="159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100" w:type="dxa"/>
            <w:tcBorders>
              <w:bottom w:val="single" w:sz="8" w:space="0" w:color="000000"/>
            </w:tcBorders>
            <w:tcMar>
              <w:bottom w:w="28" w:type="dxa"/>
            </w:tcMar>
            <w:vAlign w:val="center"/>
          </w:tcPr>
          <w:p>
            <w:pPr>
              <w:pStyle w:val="TableContents"/>
              <w:bidi w:val="0"/>
              <w:spacing w:before="0" w:after="283"/>
              <w:jc w:val="center"/>
              <w:rPr>
                <w:b/>
              </w:rPr>
            </w:pPr>
            <w:r>
              <w:rPr>
                <w:b/>
              </w:rPr>
              <w:t>Votes For</w:t>
            </w:r>
          </w:p>
        </w:tc>
        <w:tc>
          <w:tcPr>
            <w:tcW w:w="120" w:type="dxa"/>
            <w:tcBorders/>
            <w:vAlign w:val="center"/>
          </w:tcPr>
          <w:p>
            <w:pPr>
              <w:pStyle w:val="TableContents"/>
              <w:bidi w:val="0"/>
              <w:spacing w:before="0" w:after="283"/>
              <w:jc w:val="left"/>
              <w:rPr/>
            </w:pPr>
            <w:r>
              <w:rPr/>
              <w:t>  </w:t>
            </w:r>
          </w:p>
        </w:tc>
        <w:tc>
          <w:tcPr>
            <w:tcW w:w="1100" w:type="dxa"/>
            <w:tcBorders>
              <w:bottom w:val="single" w:sz="8" w:space="0" w:color="000000"/>
            </w:tcBorders>
            <w:tcMar>
              <w:bottom w:w="28" w:type="dxa"/>
            </w:tcMar>
            <w:vAlign w:val="center"/>
          </w:tcPr>
          <w:p>
            <w:pPr>
              <w:pStyle w:val="TableContents"/>
              <w:bidi w:val="0"/>
              <w:spacing w:before="0" w:after="283"/>
              <w:jc w:val="center"/>
              <w:rPr>
                <w:b/>
              </w:rPr>
            </w:pPr>
            <w:r>
              <w:rPr>
                <w:b/>
              </w:rPr>
              <w:t>Votes</w:t>
              <w:br/>
              <w:t>Withheld</w:t>
            </w:r>
          </w:p>
        </w:tc>
        <w:tc>
          <w:tcPr>
            <w:tcW w:w="120" w:type="dxa"/>
            <w:tcBorders/>
            <w:vAlign w:val="center"/>
          </w:tcPr>
          <w:p>
            <w:pPr>
              <w:pStyle w:val="TableContents"/>
              <w:bidi w:val="0"/>
              <w:spacing w:before="0" w:after="283"/>
              <w:jc w:val="left"/>
              <w:rPr/>
            </w:pPr>
            <w:r>
              <w:rPr/>
              <w:t>  </w:t>
            </w:r>
          </w:p>
        </w:tc>
        <w:tc>
          <w:tcPr>
            <w:tcW w:w="1115" w:type="dxa"/>
            <w:tcBorders>
              <w:bottom w:val="single" w:sz="8" w:space="0" w:color="000000"/>
            </w:tcBorders>
            <w:tcMar>
              <w:bottom w:w="28" w:type="dxa"/>
            </w:tcMar>
            <w:vAlign w:val="center"/>
          </w:tcPr>
          <w:p>
            <w:pPr>
              <w:pStyle w:val="TableContents"/>
              <w:bidi w:val="0"/>
              <w:spacing w:before="0" w:after="283"/>
              <w:jc w:val="center"/>
              <w:rPr>
                <w:b/>
              </w:rPr>
            </w:pPr>
            <w:r>
              <w:rPr>
                <w:b/>
              </w:rPr>
              <w:t>Broker</w:t>
              <w:br/>
              <w:t>Non-Votes</w:t>
            </w:r>
          </w:p>
        </w:tc>
      </w:tr>
      <w:tr>
        <w:trPr/>
        <w:tc>
          <w:tcPr>
            <w:tcW w:w="159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Rahul Ballal, Ph.D.</w:t>
            </w:r>
          </w:p>
        </w:tc>
        <w:tc>
          <w:tcPr>
            <w:tcW w:w="12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center"/>
              <w:rPr/>
            </w:pPr>
            <w:r>
              <w:rPr/>
              <w:t>40,145,081</w:t>
            </w:r>
          </w:p>
        </w:tc>
        <w:tc>
          <w:tcPr>
            <w:tcW w:w="12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center"/>
              <w:rPr/>
            </w:pPr>
            <w:r>
              <w:rPr/>
              <w:t>5,943,999</w:t>
            </w:r>
          </w:p>
        </w:tc>
        <w:tc>
          <w:tcPr>
            <w:tcW w:w="120" w:type="dxa"/>
            <w:tcBorders/>
            <w:vAlign w:val="center"/>
          </w:tcPr>
          <w:p>
            <w:pPr>
              <w:pStyle w:val="TableContents"/>
              <w:bidi w:val="0"/>
              <w:spacing w:before="0" w:after="283"/>
              <w:jc w:val="left"/>
              <w:rPr/>
            </w:pPr>
            <w:r>
              <w:rPr/>
              <w:t>  </w:t>
            </w:r>
          </w:p>
        </w:tc>
        <w:tc>
          <w:tcPr>
            <w:tcW w:w="1115" w:type="dxa"/>
            <w:tcBorders/>
            <w:vAlign w:val="center"/>
          </w:tcPr>
          <w:p>
            <w:pPr>
              <w:pStyle w:val="TableContents"/>
              <w:bidi w:val="0"/>
              <w:spacing w:before="0" w:after="283"/>
              <w:jc w:val="center"/>
              <w:rPr/>
            </w:pPr>
            <w:r>
              <w:rPr/>
              <w:t>2,554,446</w:t>
            </w:r>
          </w:p>
        </w:tc>
      </w:tr>
      <w:tr>
        <w:trPr/>
        <w:tc>
          <w:tcPr>
            <w:tcW w:w="159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Brian Goff</w:t>
            </w:r>
          </w:p>
        </w:tc>
        <w:tc>
          <w:tcPr>
            <w:tcW w:w="12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center"/>
              <w:rPr/>
            </w:pPr>
            <w:r>
              <w:rPr/>
              <w:t>45,757,238</w:t>
            </w:r>
          </w:p>
        </w:tc>
        <w:tc>
          <w:tcPr>
            <w:tcW w:w="12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center"/>
              <w:rPr/>
            </w:pPr>
            <w:r>
              <w:rPr/>
              <w:t>331,843</w:t>
            </w:r>
          </w:p>
        </w:tc>
        <w:tc>
          <w:tcPr>
            <w:tcW w:w="120" w:type="dxa"/>
            <w:tcBorders/>
            <w:vAlign w:val="center"/>
          </w:tcPr>
          <w:p>
            <w:pPr>
              <w:pStyle w:val="TableContents"/>
              <w:bidi w:val="0"/>
              <w:spacing w:before="0" w:after="283"/>
              <w:jc w:val="left"/>
              <w:rPr/>
            </w:pPr>
            <w:r>
              <w:rPr/>
              <w:t>  </w:t>
            </w:r>
          </w:p>
        </w:tc>
        <w:tc>
          <w:tcPr>
            <w:tcW w:w="1115" w:type="dxa"/>
            <w:tcBorders/>
            <w:vAlign w:val="center"/>
          </w:tcPr>
          <w:p>
            <w:pPr>
              <w:pStyle w:val="TableContents"/>
              <w:bidi w:val="0"/>
              <w:spacing w:before="0" w:after="283"/>
              <w:jc w:val="center"/>
              <w:rPr/>
            </w:pPr>
            <w:r>
              <w:rPr/>
              <w:t>2,554,446</w:t>
            </w:r>
          </w:p>
        </w:tc>
      </w:tr>
      <w:tr>
        <w:trPr/>
        <w:tc>
          <w:tcPr>
            <w:tcW w:w="159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Cynthia Smith</w:t>
            </w:r>
          </w:p>
        </w:tc>
        <w:tc>
          <w:tcPr>
            <w:tcW w:w="12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center"/>
              <w:rPr/>
            </w:pPr>
            <w:r>
              <w:rPr/>
              <w:t>31,496,376</w:t>
            </w:r>
          </w:p>
        </w:tc>
        <w:tc>
          <w:tcPr>
            <w:tcW w:w="12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center"/>
              <w:rPr/>
            </w:pPr>
            <w:r>
              <w:rPr/>
              <w:t>14,592,704</w:t>
            </w:r>
          </w:p>
        </w:tc>
        <w:tc>
          <w:tcPr>
            <w:tcW w:w="120" w:type="dxa"/>
            <w:tcBorders/>
            <w:vAlign w:val="center"/>
          </w:tcPr>
          <w:p>
            <w:pPr>
              <w:pStyle w:val="TableContents"/>
              <w:bidi w:val="0"/>
              <w:spacing w:before="0" w:after="283"/>
              <w:jc w:val="left"/>
              <w:rPr/>
            </w:pPr>
            <w:r>
              <w:rPr/>
              <w:t>  </w:t>
            </w:r>
          </w:p>
        </w:tc>
        <w:tc>
          <w:tcPr>
            <w:tcW w:w="1115" w:type="dxa"/>
            <w:tcBorders/>
            <w:vAlign w:val="center"/>
          </w:tcPr>
          <w:p>
            <w:pPr>
              <w:pStyle w:val="TableContents"/>
              <w:bidi w:val="0"/>
              <w:spacing w:before="0" w:after="283"/>
              <w:jc w:val="center"/>
              <w:rPr/>
            </w:pPr>
            <w:r>
              <w:rPr/>
              <w:t>2,554,446</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179"/>
        <w:gridCol w:w="10026"/>
      </w:tblGrid>
      <w:tr>
        <w:trPr/>
        <w:tc>
          <w:tcPr>
            <w:tcW w:w="179" w:type="dxa"/>
            <w:tcBorders/>
            <w:vAlign w:val="center"/>
          </w:tcPr>
          <w:p>
            <w:pPr>
              <w:pStyle w:val="TableContents"/>
              <w:bidi w:val="0"/>
              <w:spacing w:before="0" w:after="283"/>
              <w:jc w:val="left"/>
              <w:rPr/>
            </w:pPr>
            <w:r>
              <w:rPr/>
              <w:t>2.</w:t>
            </w:r>
          </w:p>
        </w:tc>
        <w:tc>
          <w:tcPr>
            <w:tcW w:w="10026"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Company’s stockholders approved the non-binding, advisory vote on the compensation paid to its named executive officers. The results of the stockholders’ non-binding, advisory vote with respect to compensation paid to the Company’s named executive officers were as follows: </w:t>
            </w:r>
          </w:p>
        </w:tc>
      </w:tr>
    </w:tbl>
    <w:p>
      <w:pPr>
        <w:pStyle w:val="TextBody"/>
        <w:bidi w:val="0"/>
        <w:spacing w:before="0" w:after="0"/>
        <w:jc w:val="left"/>
        <w:rPr/>
      </w:pPr>
      <w:r>
        <w:rPr/>
        <w:t> </w:t>
      </w:r>
    </w:p>
    <w:tbl>
      <w:tblPr>
        <w:tblW w:w="3695" w:type="dxa"/>
        <w:jc w:val="left"/>
        <w:tblInd w:w="0" w:type="dxa"/>
        <w:tblLayout w:type="fixed"/>
        <w:tblCellMar>
          <w:top w:w="0" w:type="dxa"/>
          <w:left w:w="0" w:type="dxa"/>
          <w:bottom w:w="0" w:type="dxa"/>
          <w:right w:w="0" w:type="dxa"/>
        </w:tblCellMar>
      </w:tblPr>
      <w:tblGrid>
        <w:gridCol w:w="965"/>
        <w:gridCol w:w="60"/>
        <w:gridCol w:w="845"/>
        <w:gridCol w:w="60"/>
        <w:gridCol w:w="845"/>
        <w:gridCol w:w="60"/>
        <w:gridCol w:w="860"/>
      </w:tblGrid>
      <w:tr>
        <w:trPr/>
        <w:tc>
          <w:tcPr>
            <w:tcW w:w="96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4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4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60" w:type="dxa"/>
            <w:tcBorders/>
            <w:vAlign w:val="center"/>
          </w:tcPr>
          <w:p>
            <w:pPr>
              <w:pStyle w:val="TableContents"/>
              <w:bidi w:val="0"/>
              <w:spacing w:before="0" w:after="283"/>
              <w:jc w:val="left"/>
              <w:rPr>
                <w:sz w:val="4"/>
                <w:szCs w:val="4"/>
              </w:rPr>
            </w:pPr>
            <w:r>
              <w:rPr>
                <w:sz w:val="4"/>
                <w:szCs w:val="4"/>
              </w:rPr>
            </w:r>
          </w:p>
        </w:tc>
      </w:tr>
      <w:tr>
        <w:trPr/>
        <w:tc>
          <w:tcPr>
            <w:tcW w:w="965"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6"/>
              </w:rPr>
            </w:pPr>
            <w:r>
              <w:rPr>
                <w:rFonts w:ascii="Times New Roman" w:hAnsi="Times New Roman"/>
                <w:b/>
                <w:sz w:val="16"/>
              </w:rPr>
              <w:t>Votes For</w:t>
            </w:r>
          </w:p>
        </w:tc>
        <w:tc>
          <w:tcPr>
            <w:tcW w:w="60" w:type="dxa"/>
            <w:tcBorders/>
            <w:vAlign w:val="center"/>
          </w:tcPr>
          <w:p>
            <w:pPr>
              <w:pStyle w:val="TableContents"/>
              <w:bidi w:val="0"/>
              <w:spacing w:before="0" w:after="283"/>
              <w:jc w:val="left"/>
              <w:rPr/>
            </w:pPr>
            <w:r>
              <w:rPr/>
              <w:t> </w:t>
            </w:r>
          </w:p>
        </w:tc>
        <w:tc>
          <w:tcPr>
            <w:tcW w:w="845"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6"/>
              </w:rPr>
            </w:pPr>
            <w:r>
              <w:rPr>
                <w:rFonts w:ascii="Times New Roman" w:hAnsi="Times New Roman"/>
                <w:b/>
                <w:sz w:val="16"/>
              </w:rPr>
              <w:t>Votes</w:t>
              <w:br/>
              <w:t>Against</w:t>
            </w:r>
          </w:p>
        </w:tc>
        <w:tc>
          <w:tcPr>
            <w:tcW w:w="60" w:type="dxa"/>
            <w:tcBorders/>
            <w:vAlign w:val="center"/>
          </w:tcPr>
          <w:p>
            <w:pPr>
              <w:pStyle w:val="TableContents"/>
              <w:bidi w:val="0"/>
              <w:spacing w:before="0" w:after="283"/>
              <w:jc w:val="left"/>
              <w:rPr/>
            </w:pPr>
            <w:r>
              <w:rPr/>
              <w:t> </w:t>
            </w:r>
          </w:p>
        </w:tc>
        <w:tc>
          <w:tcPr>
            <w:tcW w:w="845"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6"/>
              </w:rPr>
            </w:pPr>
            <w:r>
              <w:rPr>
                <w:rFonts w:ascii="Times New Roman" w:hAnsi="Times New Roman"/>
                <w:b/>
                <w:sz w:val="16"/>
              </w:rPr>
              <w:t>Votes</w:t>
              <w:br/>
              <w:t>Abstaining</w:t>
            </w:r>
          </w:p>
        </w:tc>
        <w:tc>
          <w:tcPr>
            <w:tcW w:w="60" w:type="dxa"/>
            <w:tcBorders/>
            <w:vAlign w:val="center"/>
          </w:tcPr>
          <w:p>
            <w:pPr>
              <w:pStyle w:val="TableContents"/>
              <w:bidi w:val="0"/>
              <w:spacing w:before="0" w:after="283"/>
              <w:jc w:val="left"/>
              <w:rPr/>
            </w:pPr>
            <w:r>
              <w:rPr/>
              <w:t> </w:t>
            </w:r>
          </w:p>
        </w:tc>
        <w:tc>
          <w:tcPr>
            <w:tcW w:w="860"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6"/>
              </w:rPr>
            </w:pPr>
            <w:r>
              <w:rPr>
                <w:rFonts w:ascii="Times New Roman" w:hAnsi="Times New Roman"/>
                <w:b/>
                <w:sz w:val="16"/>
              </w:rPr>
              <w:t>Broker</w:t>
              <w:br/>
              <w:t>Non-Votes</w:t>
            </w:r>
          </w:p>
        </w:tc>
      </w:tr>
      <w:tr>
        <w:trPr/>
        <w:tc>
          <w:tcPr>
            <w:tcW w:w="965" w:type="dxa"/>
            <w:tcBorders/>
            <w:vAlign w:val="center"/>
          </w:tcPr>
          <w:p>
            <w:pPr>
              <w:pStyle w:val="TableContents"/>
              <w:bidi w:val="0"/>
              <w:spacing w:before="0" w:after="20"/>
              <w:jc w:val="center"/>
              <w:rPr>
                <w:rFonts w:ascii="Times New Roman" w:hAnsi="Times New Roman"/>
                <w:sz w:val="20"/>
              </w:rPr>
            </w:pPr>
            <w:r>
              <w:rPr>
                <w:rFonts w:ascii="Times New Roman" w:hAnsi="Times New Roman"/>
                <w:sz w:val="20"/>
              </w:rPr>
              <w:t>43,396,045</w:t>
            </w:r>
          </w:p>
        </w:tc>
        <w:tc>
          <w:tcPr>
            <w:tcW w:w="60" w:type="dxa"/>
            <w:tcBorders/>
            <w:vAlign w:val="center"/>
          </w:tcPr>
          <w:p>
            <w:pPr>
              <w:pStyle w:val="TableContents"/>
              <w:bidi w:val="0"/>
              <w:spacing w:before="0" w:after="283"/>
              <w:jc w:val="left"/>
              <w:rPr/>
            </w:pPr>
            <w:r>
              <w:rPr/>
              <w:t> </w:t>
            </w:r>
          </w:p>
        </w:tc>
        <w:tc>
          <w:tcPr>
            <w:tcW w:w="845" w:type="dxa"/>
            <w:tcBorders/>
            <w:vAlign w:val="center"/>
          </w:tcPr>
          <w:p>
            <w:pPr>
              <w:pStyle w:val="TableContents"/>
              <w:bidi w:val="0"/>
              <w:spacing w:before="0" w:after="20"/>
              <w:jc w:val="center"/>
              <w:rPr>
                <w:rFonts w:ascii="Times New Roman" w:hAnsi="Times New Roman"/>
                <w:sz w:val="20"/>
              </w:rPr>
            </w:pPr>
            <w:r>
              <w:rPr>
                <w:rFonts w:ascii="Times New Roman" w:hAnsi="Times New Roman"/>
                <w:sz w:val="20"/>
              </w:rPr>
              <w:t>1,086,059</w:t>
            </w:r>
          </w:p>
        </w:tc>
        <w:tc>
          <w:tcPr>
            <w:tcW w:w="60" w:type="dxa"/>
            <w:tcBorders/>
            <w:vAlign w:val="center"/>
          </w:tcPr>
          <w:p>
            <w:pPr>
              <w:pStyle w:val="TableContents"/>
              <w:bidi w:val="0"/>
              <w:spacing w:before="0" w:after="283"/>
              <w:jc w:val="left"/>
              <w:rPr/>
            </w:pPr>
            <w:r>
              <w:rPr/>
              <w:t> </w:t>
            </w:r>
          </w:p>
        </w:tc>
        <w:tc>
          <w:tcPr>
            <w:tcW w:w="845" w:type="dxa"/>
            <w:tcBorders/>
            <w:vAlign w:val="center"/>
          </w:tcPr>
          <w:p>
            <w:pPr>
              <w:pStyle w:val="TableContents"/>
              <w:bidi w:val="0"/>
              <w:spacing w:before="0" w:after="20"/>
              <w:jc w:val="center"/>
              <w:rPr>
                <w:rFonts w:ascii="Times New Roman" w:hAnsi="Times New Roman"/>
                <w:sz w:val="20"/>
              </w:rPr>
            </w:pPr>
            <w:r>
              <w:rPr>
                <w:rFonts w:ascii="Times New Roman" w:hAnsi="Times New Roman"/>
                <w:sz w:val="20"/>
              </w:rPr>
              <w:t>1,606,976</w:t>
            </w:r>
          </w:p>
        </w:tc>
        <w:tc>
          <w:tcPr>
            <w:tcW w:w="60" w:type="dxa"/>
            <w:tcBorders/>
            <w:vAlign w:val="center"/>
          </w:tcPr>
          <w:p>
            <w:pPr>
              <w:pStyle w:val="TableContents"/>
              <w:bidi w:val="0"/>
              <w:spacing w:before="0" w:after="283"/>
              <w:jc w:val="left"/>
              <w:rPr/>
            </w:pPr>
            <w:r>
              <w:rPr/>
              <w:t> </w:t>
            </w:r>
          </w:p>
        </w:tc>
        <w:tc>
          <w:tcPr>
            <w:tcW w:w="860" w:type="dxa"/>
            <w:tcBorders/>
            <w:vAlign w:val="center"/>
          </w:tcPr>
          <w:p>
            <w:pPr>
              <w:pStyle w:val="TableContents"/>
              <w:bidi w:val="0"/>
              <w:spacing w:before="0" w:after="20"/>
              <w:jc w:val="center"/>
              <w:rPr>
                <w:rFonts w:ascii="Times New Roman" w:hAnsi="Times New Roman"/>
                <w:sz w:val="20"/>
              </w:rPr>
            </w:pPr>
            <w:r>
              <w:rPr>
                <w:rFonts w:ascii="Times New Roman" w:hAnsi="Times New Roman"/>
                <w:sz w:val="20"/>
              </w:rPr>
              <w:t>2,554,446</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194"/>
        <w:gridCol w:w="10011"/>
      </w:tblGrid>
      <w:tr>
        <w:trPr/>
        <w:tc>
          <w:tcPr>
            <w:tcW w:w="194" w:type="dxa"/>
            <w:tcBorders/>
            <w:vAlign w:val="center"/>
          </w:tcPr>
          <w:p>
            <w:pPr>
              <w:pStyle w:val="TableContents"/>
              <w:bidi w:val="0"/>
              <w:spacing w:before="0" w:after="283"/>
              <w:jc w:val="left"/>
              <w:rPr/>
            </w:pPr>
            <w:r>
              <w:rPr/>
              <w:t>3.</w:t>
            </w:r>
          </w:p>
        </w:tc>
        <w:tc>
          <w:tcPr>
            <w:tcW w:w="10011"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Company’s stockholders approved the 2023 Plan Amendment. The results of the stockholders’ vote with respect to the approval of the 2023 Plan Amendment were as follows: </w:t>
            </w:r>
          </w:p>
        </w:tc>
      </w:tr>
    </w:tbl>
    <w:p>
      <w:pPr>
        <w:pStyle w:val="TextBody"/>
        <w:bidi w:val="0"/>
        <w:spacing w:before="0" w:after="0"/>
        <w:jc w:val="left"/>
        <w:rPr/>
      </w:pPr>
      <w:r>
        <w:rPr/>
        <w:t> </w:t>
      </w:r>
    </w:p>
    <w:tbl>
      <w:tblPr>
        <w:tblW w:w="3650" w:type="dxa"/>
        <w:jc w:val="left"/>
        <w:tblInd w:w="0" w:type="dxa"/>
        <w:tblLayout w:type="fixed"/>
        <w:tblCellMar>
          <w:top w:w="0" w:type="dxa"/>
          <w:left w:w="0" w:type="dxa"/>
          <w:bottom w:w="0" w:type="dxa"/>
          <w:right w:w="0" w:type="dxa"/>
        </w:tblCellMar>
      </w:tblPr>
      <w:tblGrid>
        <w:gridCol w:w="965"/>
        <w:gridCol w:w="60"/>
        <w:gridCol w:w="845"/>
        <w:gridCol w:w="60"/>
        <w:gridCol w:w="800"/>
        <w:gridCol w:w="60"/>
        <w:gridCol w:w="860"/>
      </w:tblGrid>
      <w:tr>
        <w:trPr/>
        <w:tc>
          <w:tcPr>
            <w:tcW w:w="96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4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60" w:type="dxa"/>
            <w:tcBorders/>
            <w:vAlign w:val="center"/>
          </w:tcPr>
          <w:p>
            <w:pPr>
              <w:pStyle w:val="TableContents"/>
              <w:bidi w:val="0"/>
              <w:spacing w:before="0" w:after="283"/>
              <w:jc w:val="left"/>
              <w:rPr>
                <w:sz w:val="4"/>
                <w:szCs w:val="4"/>
              </w:rPr>
            </w:pPr>
            <w:r>
              <w:rPr>
                <w:sz w:val="4"/>
                <w:szCs w:val="4"/>
              </w:rPr>
            </w:r>
          </w:p>
        </w:tc>
      </w:tr>
      <w:tr>
        <w:trPr/>
        <w:tc>
          <w:tcPr>
            <w:tcW w:w="965"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6"/>
              </w:rPr>
            </w:pPr>
            <w:r>
              <w:rPr>
                <w:rFonts w:ascii="Times New Roman" w:hAnsi="Times New Roman"/>
                <w:b/>
                <w:sz w:val="16"/>
              </w:rPr>
              <w:t>Votes For</w:t>
            </w:r>
          </w:p>
        </w:tc>
        <w:tc>
          <w:tcPr>
            <w:tcW w:w="60" w:type="dxa"/>
            <w:tcBorders/>
            <w:vAlign w:val="center"/>
          </w:tcPr>
          <w:p>
            <w:pPr>
              <w:pStyle w:val="TableContents"/>
              <w:bidi w:val="0"/>
              <w:spacing w:before="0" w:after="283"/>
              <w:jc w:val="left"/>
              <w:rPr/>
            </w:pPr>
            <w:r>
              <w:rPr/>
              <w:t> </w:t>
            </w:r>
          </w:p>
        </w:tc>
        <w:tc>
          <w:tcPr>
            <w:tcW w:w="845"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6"/>
              </w:rPr>
            </w:pPr>
            <w:r>
              <w:rPr>
                <w:rFonts w:ascii="Times New Roman" w:hAnsi="Times New Roman"/>
                <w:b/>
                <w:sz w:val="16"/>
              </w:rPr>
              <w:t>Votes</w:t>
              <w:br/>
              <w:t>Against</w:t>
            </w:r>
          </w:p>
        </w:tc>
        <w:tc>
          <w:tcPr>
            <w:tcW w:w="60" w:type="dxa"/>
            <w:tcBorders/>
            <w:vAlign w:val="center"/>
          </w:tcPr>
          <w:p>
            <w:pPr>
              <w:pStyle w:val="TableContents"/>
              <w:bidi w:val="0"/>
              <w:spacing w:before="0" w:after="283"/>
              <w:jc w:val="left"/>
              <w:rPr/>
            </w:pPr>
            <w:r>
              <w:rPr/>
              <w:t> </w:t>
            </w:r>
          </w:p>
        </w:tc>
        <w:tc>
          <w:tcPr>
            <w:tcW w:w="800"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6"/>
              </w:rPr>
            </w:pPr>
            <w:r>
              <w:rPr>
                <w:rFonts w:ascii="Times New Roman" w:hAnsi="Times New Roman"/>
                <w:b/>
                <w:sz w:val="16"/>
              </w:rPr>
              <w:t>Votes</w:t>
              <w:br/>
              <w:t>Abstaining</w:t>
            </w:r>
          </w:p>
        </w:tc>
        <w:tc>
          <w:tcPr>
            <w:tcW w:w="60" w:type="dxa"/>
            <w:tcBorders/>
            <w:vAlign w:val="center"/>
          </w:tcPr>
          <w:p>
            <w:pPr>
              <w:pStyle w:val="TableContents"/>
              <w:bidi w:val="0"/>
              <w:spacing w:before="0" w:after="283"/>
              <w:jc w:val="left"/>
              <w:rPr/>
            </w:pPr>
            <w:r>
              <w:rPr/>
              <w:t> </w:t>
            </w:r>
          </w:p>
        </w:tc>
        <w:tc>
          <w:tcPr>
            <w:tcW w:w="860"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6"/>
              </w:rPr>
            </w:pPr>
            <w:r>
              <w:rPr>
                <w:rFonts w:ascii="Times New Roman" w:hAnsi="Times New Roman"/>
                <w:b/>
                <w:sz w:val="16"/>
              </w:rPr>
              <w:t>Broker</w:t>
              <w:br/>
              <w:t>Non-Votes</w:t>
            </w:r>
          </w:p>
        </w:tc>
      </w:tr>
      <w:tr>
        <w:trPr/>
        <w:tc>
          <w:tcPr>
            <w:tcW w:w="965" w:type="dxa"/>
            <w:tcBorders/>
            <w:vAlign w:val="center"/>
          </w:tcPr>
          <w:p>
            <w:pPr>
              <w:pStyle w:val="TableContents"/>
              <w:bidi w:val="0"/>
              <w:spacing w:before="0" w:after="20"/>
              <w:jc w:val="center"/>
              <w:rPr>
                <w:rFonts w:ascii="Times New Roman" w:hAnsi="Times New Roman"/>
                <w:sz w:val="20"/>
              </w:rPr>
            </w:pPr>
            <w:r>
              <w:rPr>
                <w:rFonts w:ascii="Times New Roman" w:hAnsi="Times New Roman"/>
                <w:sz w:val="20"/>
              </w:rPr>
              <w:t>43,549,751</w:t>
            </w:r>
          </w:p>
        </w:tc>
        <w:tc>
          <w:tcPr>
            <w:tcW w:w="60" w:type="dxa"/>
            <w:tcBorders/>
            <w:vAlign w:val="center"/>
          </w:tcPr>
          <w:p>
            <w:pPr>
              <w:pStyle w:val="TableContents"/>
              <w:bidi w:val="0"/>
              <w:spacing w:before="0" w:after="283"/>
              <w:jc w:val="left"/>
              <w:rPr/>
            </w:pPr>
            <w:r>
              <w:rPr/>
              <w:t> </w:t>
            </w:r>
          </w:p>
        </w:tc>
        <w:tc>
          <w:tcPr>
            <w:tcW w:w="845" w:type="dxa"/>
            <w:tcBorders/>
            <w:vAlign w:val="center"/>
          </w:tcPr>
          <w:p>
            <w:pPr>
              <w:pStyle w:val="TableContents"/>
              <w:bidi w:val="0"/>
              <w:spacing w:before="0" w:after="20"/>
              <w:jc w:val="center"/>
              <w:rPr>
                <w:rFonts w:ascii="Times New Roman" w:hAnsi="Times New Roman"/>
                <w:sz w:val="20"/>
              </w:rPr>
            </w:pPr>
            <w:r>
              <w:rPr>
                <w:rFonts w:ascii="Times New Roman" w:hAnsi="Times New Roman"/>
                <w:sz w:val="20"/>
              </w:rPr>
              <w:t>2,527,678</w:t>
            </w:r>
          </w:p>
        </w:tc>
        <w:tc>
          <w:tcPr>
            <w:tcW w:w="6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0"/>
              <w:jc w:val="center"/>
              <w:rPr>
                <w:rFonts w:ascii="Times New Roman" w:hAnsi="Times New Roman"/>
                <w:sz w:val="20"/>
              </w:rPr>
            </w:pPr>
            <w:r>
              <w:rPr>
                <w:rFonts w:ascii="Times New Roman" w:hAnsi="Times New Roman"/>
                <w:sz w:val="20"/>
              </w:rPr>
              <w:t>11,651</w:t>
            </w:r>
          </w:p>
        </w:tc>
        <w:tc>
          <w:tcPr>
            <w:tcW w:w="60" w:type="dxa"/>
            <w:tcBorders/>
            <w:vAlign w:val="center"/>
          </w:tcPr>
          <w:p>
            <w:pPr>
              <w:pStyle w:val="TableContents"/>
              <w:bidi w:val="0"/>
              <w:spacing w:before="0" w:after="283"/>
              <w:jc w:val="left"/>
              <w:rPr/>
            </w:pPr>
            <w:r>
              <w:rPr/>
              <w:t> </w:t>
            </w:r>
          </w:p>
        </w:tc>
        <w:tc>
          <w:tcPr>
            <w:tcW w:w="860" w:type="dxa"/>
            <w:tcBorders/>
            <w:vAlign w:val="center"/>
          </w:tcPr>
          <w:p>
            <w:pPr>
              <w:pStyle w:val="TableContents"/>
              <w:bidi w:val="0"/>
              <w:spacing w:before="0" w:after="20"/>
              <w:jc w:val="center"/>
              <w:rPr>
                <w:rFonts w:ascii="Times New Roman" w:hAnsi="Times New Roman"/>
                <w:sz w:val="20"/>
              </w:rPr>
            </w:pPr>
            <w:r>
              <w:rPr>
                <w:rFonts w:ascii="Times New Roman" w:hAnsi="Times New Roman"/>
                <w:sz w:val="20"/>
              </w:rPr>
              <w:t>2,554,446</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179"/>
        <w:gridCol w:w="10026"/>
      </w:tblGrid>
      <w:tr>
        <w:trPr/>
        <w:tc>
          <w:tcPr>
            <w:tcW w:w="179" w:type="dxa"/>
            <w:tcBorders/>
            <w:vAlign w:val="center"/>
          </w:tcPr>
          <w:p>
            <w:pPr>
              <w:pStyle w:val="TableContents"/>
              <w:bidi w:val="0"/>
              <w:spacing w:before="0" w:after="283"/>
              <w:jc w:val="left"/>
              <w:rPr/>
            </w:pPr>
            <w:r>
              <w:rPr/>
              <w:t>4.</w:t>
            </w:r>
          </w:p>
        </w:tc>
        <w:tc>
          <w:tcPr>
            <w:tcW w:w="10026"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Company’s stockholders ratified the appointment of PricewaterhouseCoopers LLP as the Company’s independent registered public accounting firm for the current fiscal year. The results of the stockholders’ vote with respect to such ratification were as follows: </w:t>
            </w:r>
          </w:p>
        </w:tc>
      </w:tr>
    </w:tbl>
    <w:p>
      <w:pPr>
        <w:pStyle w:val="TextBody"/>
        <w:bidi w:val="0"/>
        <w:spacing w:before="0" w:after="0"/>
        <w:jc w:val="left"/>
        <w:rPr/>
      </w:pPr>
      <w:r>
        <w:rPr/>
        <w:t> </w:t>
      </w:r>
    </w:p>
    <w:tbl>
      <w:tblPr>
        <w:tblW w:w="3440" w:type="dxa"/>
        <w:jc w:val="left"/>
        <w:tblInd w:w="0" w:type="dxa"/>
        <w:tblLayout w:type="fixed"/>
        <w:tblCellMar>
          <w:top w:w="0" w:type="dxa"/>
          <w:left w:w="0" w:type="dxa"/>
          <w:bottom w:w="0" w:type="dxa"/>
          <w:right w:w="0" w:type="dxa"/>
        </w:tblCellMar>
      </w:tblPr>
      <w:tblGrid>
        <w:gridCol w:w="965"/>
        <w:gridCol w:w="60"/>
        <w:gridCol w:w="695"/>
        <w:gridCol w:w="60"/>
        <w:gridCol w:w="800"/>
        <w:gridCol w:w="60"/>
        <w:gridCol w:w="800"/>
      </w:tblGrid>
      <w:tr>
        <w:trPr/>
        <w:tc>
          <w:tcPr>
            <w:tcW w:w="96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9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r>
      <w:tr>
        <w:trPr/>
        <w:tc>
          <w:tcPr>
            <w:tcW w:w="965"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6"/>
              </w:rPr>
            </w:pPr>
            <w:r>
              <w:rPr>
                <w:rFonts w:ascii="Times New Roman" w:hAnsi="Times New Roman"/>
                <w:b/>
                <w:sz w:val="16"/>
              </w:rPr>
              <w:t>Votes For</w:t>
            </w:r>
          </w:p>
        </w:tc>
        <w:tc>
          <w:tcPr>
            <w:tcW w:w="60" w:type="dxa"/>
            <w:tcBorders/>
            <w:vAlign w:val="center"/>
          </w:tcPr>
          <w:p>
            <w:pPr>
              <w:pStyle w:val="TableContents"/>
              <w:bidi w:val="0"/>
              <w:spacing w:before="0" w:after="283"/>
              <w:jc w:val="left"/>
              <w:rPr/>
            </w:pPr>
            <w:r>
              <w:rPr/>
              <w:t> </w:t>
            </w:r>
          </w:p>
        </w:tc>
        <w:tc>
          <w:tcPr>
            <w:tcW w:w="695"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6"/>
              </w:rPr>
            </w:pPr>
            <w:r>
              <w:rPr>
                <w:rFonts w:ascii="Times New Roman" w:hAnsi="Times New Roman"/>
                <w:b/>
                <w:sz w:val="16"/>
              </w:rPr>
              <w:t>Votes</w:t>
              <w:br/>
              <w:t>Against</w:t>
            </w:r>
          </w:p>
        </w:tc>
        <w:tc>
          <w:tcPr>
            <w:tcW w:w="60" w:type="dxa"/>
            <w:tcBorders/>
            <w:vAlign w:val="center"/>
          </w:tcPr>
          <w:p>
            <w:pPr>
              <w:pStyle w:val="TableContents"/>
              <w:bidi w:val="0"/>
              <w:spacing w:before="0" w:after="283"/>
              <w:jc w:val="left"/>
              <w:rPr/>
            </w:pPr>
            <w:r>
              <w:rPr/>
              <w:t> </w:t>
            </w:r>
          </w:p>
        </w:tc>
        <w:tc>
          <w:tcPr>
            <w:tcW w:w="800"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6"/>
              </w:rPr>
            </w:pPr>
            <w:r>
              <w:rPr>
                <w:rFonts w:ascii="Times New Roman" w:hAnsi="Times New Roman"/>
                <w:b/>
                <w:sz w:val="16"/>
              </w:rPr>
              <w:t>Votes</w:t>
              <w:br/>
              <w:t>Abstaining</w:t>
            </w:r>
          </w:p>
        </w:tc>
        <w:tc>
          <w:tcPr>
            <w:tcW w:w="60" w:type="dxa"/>
            <w:tcBorders/>
            <w:vAlign w:val="center"/>
          </w:tcPr>
          <w:p>
            <w:pPr>
              <w:pStyle w:val="TableContents"/>
              <w:bidi w:val="0"/>
              <w:spacing w:before="0" w:after="283"/>
              <w:jc w:val="left"/>
              <w:rPr/>
            </w:pPr>
            <w:r>
              <w:rPr/>
              <w:t> </w:t>
            </w:r>
          </w:p>
        </w:tc>
        <w:tc>
          <w:tcPr>
            <w:tcW w:w="800"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6"/>
              </w:rPr>
            </w:pPr>
            <w:r>
              <w:rPr>
                <w:rFonts w:ascii="Times New Roman" w:hAnsi="Times New Roman"/>
                <w:b/>
                <w:sz w:val="16"/>
              </w:rPr>
              <w:t>Broker</w:t>
              <w:br/>
              <w:t>Non-Votes</w:t>
            </w:r>
          </w:p>
        </w:tc>
      </w:tr>
      <w:tr>
        <w:trPr/>
        <w:tc>
          <w:tcPr>
            <w:tcW w:w="965" w:type="dxa"/>
            <w:tcBorders/>
            <w:vAlign w:val="center"/>
          </w:tcPr>
          <w:p>
            <w:pPr>
              <w:pStyle w:val="TableContents"/>
              <w:bidi w:val="0"/>
              <w:spacing w:before="0" w:after="20"/>
              <w:jc w:val="center"/>
              <w:rPr>
                <w:rFonts w:ascii="Times New Roman" w:hAnsi="Times New Roman"/>
                <w:sz w:val="20"/>
              </w:rPr>
            </w:pPr>
            <w:r>
              <w:rPr>
                <w:rFonts w:ascii="Times New Roman" w:hAnsi="Times New Roman"/>
                <w:sz w:val="20"/>
              </w:rPr>
              <w:t>48,511,213</w:t>
            </w:r>
          </w:p>
        </w:tc>
        <w:tc>
          <w:tcPr>
            <w:tcW w:w="60" w:type="dxa"/>
            <w:tcBorders/>
            <w:vAlign w:val="center"/>
          </w:tcPr>
          <w:p>
            <w:pPr>
              <w:pStyle w:val="TableContents"/>
              <w:bidi w:val="0"/>
              <w:spacing w:before="0" w:after="283"/>
              <w:jc w:val="left"/>
              <w:rPr/>
            </w:pPr>
            <w:r>
              <w:rPr/>
              <w:t> </w:t>
            </w:r>
          </w:p>
        </w:tc>
        <w:tc>
          <w:tcPr>
            <w:tcW w:w="695" w:type="dxa"/>
            <w:tcBorders/>
            <w:vAlign w:val="center"/>
          </w:tcPr>
          <w:p>
            <w:pPr>
              <w:pStyle w:val="TableContents"/>
              <w:bidi w:val="0"/>
              <w:spacing w:before="0" w:after="20"/>
              <w:jc w:val="center"/>
              <w:rPr>
                <w:rFonts w:ascii="Times New Roman" w:hAnsi="Times New Roman"/>
                <w:sz w:val="20"/>
              </w:rPr>
            </w:pPr>
            <w:r>
              <w:rPr>
                <w:rFonts w:ascii="Times New Roman" w:hAnsi="Times New Roman"/>
                <w:sz w:val="20"/>
              </w:rPr>
              <w:t>116,938</w:t>
            </w:r>
          </w:p>
        </w:tc>
        <w:tc>
          <w:tcPr>
            <w:tcW w:w="6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0"/>
              <w:jc w:val="center"/>
              <w:rPr>
                <w:rFonts w:ascii="Times New Roman" w:hAnsi="Times New Roman"/>
                <w:sz w:val="20"/>
              </w:rPr>
            </w:pPr>
            <w:r>
              <w:rPr>
                <w:rFonts w:ascii="Times New Roman" w:hAnsi="Times New Roman"/>
                <w:sz w:val="20"/>
              </w:rPr>
              <w:t>15,376</w:t>
            </w:r>
          </w:p>
        </w:tc>
        <w:tc>
          <w:tcPr>
            <w:tcW w:w="6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0"/>
              <w:jc w:val="center"/>
              <w:rPr>
                <w:rFonts w:ascii="Times New Roman" w:hAnsi="Times New Roman"/>
                <w:sz w:val="20"/>
              </w:rPr>
            </w:pPr>
            <w:r>
              <w:rPr>
                <w:rFonts w:ascii="Times New Roman" w:hAnsi="Times New Roman"/>
                <w:sz w:val="20"/>
              </w:rPr>
              <w:t>0</w:t>
            </w:r>
          </w:p>
        </w:tc>
      </w:tr>
    </w:tbl>
    <w:p>
      <w:pPr>
        <w:pStyle w:val="TextBody"/>
        <w:bidi w:val="0"/>
        <w:spacing w:before="0" w:after="0"/>
        <w:jc w:val="left"/>
        <w:rPr/>
      </w:pPr>
      <w:r>
        <w:rPr/>
        <w:t> </w:t>
      </w:r>
      <w:r>
        <w:br w:type="page"/>
      </w:r>
    </w:p>
    <w:p>
      <w:pPr>
        <w:pStyle w:val="HorizontalLine"/>
        <w:bidi w:val="0"/>
        <w:jc w:val="left"/>
        <w:rPr/>
      </w:pPr>
      <w:r>
        <w:rPr/>
      </w:r>
    </w:p>
    <w:tbl>
      <w:tblPr>
        <w:tblW w:w="4030" w:type="dxa"/>
        <w:jc w:val="left"/>
        <w:tblInd w:w="0" w:type="dxa"/>
        <w:tblLayout w:type="fixed"/>
        <w:tblCellMar>
          <w:top w:w="0" w:type="dxa"/>
          <w:left w:w="0" w:type="dxa"/>
          <w:bottom w:w="0" w:type="dxa"/>
          <w:right w:w="0" w:type="dxa"/>
        </w:tblCellMar>
      </w:tblPr>
      <w:tblGrid>
        <w:gridCol w:w="1025"/>
        <w:gridCol w:w="3005"/>
      </w:tblGrid>
      <w:tr>
        <w:trPr/>
        <w:tc>
          <w:tcPr>
            <w:tcW w:w="1025" w:type="dxa"/>
            <w:tcBorders/>
            <w:vAlign w:val="center"/>
          </w:tcPr>
          <w:p>
            <w:pPr>
              <w:pStyle w:val="TableContents"/>
              <w:bidi w:val="0"/>
              <w:spacing w:before="0" w:after="283"/>
              <w:jc w:val="left"/>
              <w:rPr>
                <w:b/>
              </w:rPr>
            </w:pPr>
            <w:r>
              <w:rPr>
                <w:b/>
              </w:rPr>
              <w:t>Item 9.01.</w:t>
            </w:r>
          </w:p>
        </w:tc>
        <w:tc>
          <w:tcPr>
            <w:tcW w:w="3005"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 xml:space="preserve">Financial Statements and Exhibits. </w:t>
            </w:r>
          </w:p>
        </w:tc>
      </w:tr>
    </w:tbl>
    <w:p>
      <w:pPr>
        <w:pStyle w:val="TextBody"/>
        <w:bidi w:val="0"/>
        <w:spacing w:before="120" w:after="0"/>
        <w:jc w:val="left"/>
        <w:rPr>
          <w:rFonts w:ascii="Times New Roman" w:hAnsi="Times New Roman"/>
          <w:sz w:val="20"/>
        </w:rPr>
      </w:pPr>
      <w:r>
        <w:rPr>
          <w:rFonts w:ascii="Times New Roman" w:hAnsi="Times New Roman"/>
          <w:sz w:val="20"/>
        </w:rPr>
        <w:t xml:space="preserve">(d) Exhibits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620"/>
        <w:gridCol w:w="120"/>
        <w:gridCol w:w="9465"/>
      </w:tblGrid>
      <w:tr>
        <w:trPr/>
        <w:tc>
          <w:tcPr>
            <w:tcW w:w="6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9465" w:type="dxa"/>
            <w:tcBorders/>
            <w:vAlign w:val="center"/>
          </w:tcPr>
          <w:p>
            <w:pPr>
              <w:pStyle w:val="TableContents"/>
              <w:bidi w:val="0"/>
              <w:spacing w:before="0" w:after="283"/>
              <w:jc w:val="left"/>
              <w:rPr>
                <w:sz w:val="4"/>
                <w:szCs w:val="4"/>
              </w:rPr>
            </w:pPr>
            <w:r>
              <w:rPr>
                <w:sz w:val="4"/>
                <w:szCs w:val="4"/>
              </w:rPr>
            </w:r>
          </w:p>
        </w:tc>
      </w:tr>
      <w:tr>
        <w:trPr/>
        <w:tc>
          <w:tcPr>
            <w:tcW w:w="620" w:type="dxa"/>
            <w:tcBorders/>
            <w:vAlign w:val="center"/>
          </w:tcPr>
          <w:p>
            <w:pPr>
              <w:pStyle w:val="TableContents"/>
              <w:bidi w:val="0"/>
              <w:spacing w:before="0" w:after="0"/>
              <w:jc w:val="center"/>
              <w:rPr>
                <w:rFonts w:ascii="Times New Roman" w:hAnsi="Times New Roman"/>
                <w:b/>
                <w:sz w:val="16"/>
              </w:rPr>
            </w:pPr>
            <w:r>
              <w:rPr>
                <w:rFonts w:ascii="Times New Roman" w:hAnsi="Times New Roman"/>
                <w:b/>
                <w:sz w:val="16"/>
              </w:rPr>
              <w:t>Exhibit</w:t>
            </w:r>
          </w:p>
          <w:p>
            <w:pPr>
              <w:pStyle w:val="TableContents"/>
              <w:bidi w:val="0"/>
              <w:spacing w:before="0" w:after="20"/>
              <w:jc w:val="center"/>
              <w:rPr>
                <w:rFonts w:ascii="Times New Roman" w:hAnsi="Times New Roman"/>
                <w:b/>
                <w:sz w:val="16"/>
              </w:rPr>
            </w:pPr>
            <w:r>
              <w:rPr>
                <w:rFonts w:ascii="Times New Roman" w:hAnsi="Times New Roman"/>
                <w:b/>
                <w:sz w:val="16"/>
              </w:rPr>
              <w:t>Number</w:t>
            </w:r>
          </w:p>
        </w:tc>
        <w:tc>
          <w:tcPr>
            <w:tcW w:w="120" w:type="dxa"/>
            <w:tcBorders/>
            <w:vAlign w:val="center"/>
          </w:tcPr>
          <w:p>
            <w:pPr>
              <w:pStyle w:val="TableContents"/>
              <w:bidi w:val="0"/>
              <w:spacing w:before="0" w:after="283"/>
              <w:jc w:val="left"/>
              <w:rPr/>
            </w:pPr>
            <w:r>
              <w:rPr/>
              <w:t>  </w:t>
            </w:r>
          </w:p>
        </w:tc>
        <w:tc>
          <w:tcPr>
            <w:tcW w:w="9465" w:type="dxa"/>
            <w:tcBorders/>
            <w:vAlign w:val="center"/>
          </w:tcPr>
          <w:p>
            <w:pPr>
              <w:pStyle w:val="TableContents"/>
              <w:bidi w:val="0"/>
              <w:spacing w:before="0" w:after="283"/>
              <w:jc w:val="center"/>
              <w:rPr>
                <w:b/>
              </w:rPr>
            </w:pPr>
            <w:r>
              <w:rPr>
                <w:b/>
              </w:rPr>
              <w:t>Description of Exhibit</w:t>
            </w:r>
          </w:p>
        </w:tc>
      </w:tr>
      <w:tr>
        <w:trPr/>
        <w:tc>
          <w:tcPr>
            <w:tcW w:w="620" w:type="dxa"/>
            <w:tcBorders/>
            <w:vAlign w:val="center"/>
          </w:tcPr>
          <w:p>
            <w:pPr>
              <w:pStyle w:val="TableContents"/>
              <w:bidi w:val="0"/>
              <w:spacing w:before="0" w:after="283"/>
              <w:jc w:val="left"/>
              <w:rPr>
                <w:sz w:val="4"/>
                <w:szCs w:val="4"/>
              </w:rPr>
            </w:pPr>
            <w:r>
              <w:rPr>
                <w:sz w:val="4"/>
                <w:szCs w:val="4"/>
              </w:rPr>
            </w:r>
          </w:p>
        </w:tc>
        <w:tc>
          <w:tcPr>
            <w:tcW w:w="9585" w:type="dxa"/>
            <w:gridSpan w:val="2"/>
            <w:tcBorders/>
            <w:vAlign w:val="center"/>
          </w:tcPr>
          <w:p>
            <w:pPr>
              <w:pStyle w:val="TableContents"/>
              <w:bidi w:val="0"/>
              <w:spacing w:before="0" w:after="283"/>
              <w:jc w:val="left"/>
              <w:rPr>
                <w:sz w:val="4"/>
                <w:szCs w:val="4"/>
              </w:rPr>
            </w:pPr>
            <w:r>
              <w:rPr>
                <w:sz w:val="4"/>
                <w:szCs w:val="4"/>
              </w:rPr>
            </w:r>
          </w:p>
        </w:tc>
      </w:tr>
      <w:tr>
        <w:trPr/>
        <w:tc>
          <w:tcPr>
            <w:tcW w:w="620" w:type="dxa"/>
            <w:tcBorders/>
            <w:vAlign w:val="center"/>
          </w:tcPr>
          <w:p>
            <w:pPr>
              <w:pStyle w:val="TableContents"/>
              <w:bidi w:val="0"/>
              <w:spacing w:before="0" w:after="283"/>
              <w:jc w:val="left"/>
              <w:rPr/>
            </w:pPr>
            <w:r>
              <w:rPr/>
              <w:t>99.1</w:t>
            </w:r>
          </w:p>
        </w:tc>
        <w:tc>
          <w:tcPr>
            <w:tcW w:w="120" w:type="dxa"/>
            <w:tcBorders/>
            <w:vAlign w:val="center"/>
          </w:tcPr>
          <w:p>
            <w:pPr>
              <w:pStyle w:val="TableContents"/>
              <w:bidi w:val="0"/>
              <w:spacing w:before="0" w:after="283"/>
              <w:jc w:val="left"/>
              <w:rPr/>
            </w:pPr>
            <w:r>
              <w:rPr/>
              <w:t>  </w:t>
            </w:r>
          </w:p>
        </w:tc>
        <w:tc>
          <w:tcPr>
            <w:tcW w:w="9465" w:type="dxa"/>
            <w:tcBorders/>
            <w:vAlign w:val="center"/>
          </w:tcPr>
          <w:p>
            <w:pPr>
              <w:pStyle w:val="TableContents"/>
              <w:bidi w:val="0"/>
              <w:spacing w:before="0" w:after="283"/>
              <w:jc w:val="left"/>
              <w:rPr/>
            </w:pPr>
            <w:r>
              <w:fldChar w:fldCharType="begin"/>
            </w:r>
            <w:r>
              <w:rPr>
                <w:rStyle w:val="InternetLink"/>
              </w:rPr>
              <w:instrText xml:space="preserve"> HYPERLINK "http://www.sec.gov/Archives/edgar/data/../../../ix?doc=/Archives/edgar/data/1439222/000119312526177086/d943609ddef14a.htm" \l "toc943609_16"</w:instrText>
            </w:r>
            <w:r>
              <w:rPr>
                <w:rStyle w:val="InternetLink"/>
              </w:rPr>
              <w:fldChar w:fldCharType="separate"/>
            </w:r>
            <w:r>
              <w:rPr>
                <w:rStyle w:val="InternetLink"/>
              </w:rPr>
              <w:t xml:space="preserve">Agios Pharmaceuticals, Inc. 2023 Stock Incentive Plan, as amended (incorporated by reference to Appendix A of the registrant’s Definitive Proxy Statement on Schedule 14A (File No. 001-36014) filed with the SEC on April 24, 2026) </w:t>
            </w:r>
            <w:r>
              <w:rPr>
                <w:rStyle w:val="InternetLink"/>
              </w:rPr>
              <w:fldChar w:fldCharType="end"/>
            </w:r>
          </w:p>
        </w:tc>
      </w:tr>
      <w:tr>
        <w:trPr/>
        <w:tc>
          <w:tcPr>
            <w:tcW w:w="620" w:type="dxa"/>
            <w:tcBorders/>
            <w:vAlign w:val="center"/>
          </w:tcPr>
          <w:p>
            <w:pPr>
              <w:pStyle w:val="TableContents"/>
              <w:bidi w:val="0"/>
              <w:spacing w:before="0" w:after="283"/>
              <w:jc w:val="left"/>
              <w:rPr>
                <w:sz w:val="4"/>
                <w:szCs w:val="4"/>
              </w:rPr>
            </w:pPr>
            <w:r>
              <w:rPr>
                <w:sz w:val="4"/>
                <w:szCs w:val="4"/>
              </w:rPr>
            </w:r>
          </w:p>
        </w:tc>
        <w:tc>
          <w:tcPr>
            <w:tcW w:w="9585" w:type="dxa"/>
            <w:gridSpan w:val="2"/>
            <w:tcBorders/>
            <w:vAlign w:val="center"/>
          </w:tcPr>
          <w:p>
            <w:pPr>
              <w:pStyle w:val="TableContents"/>
              <w:bidi w:val="0"/>
              <w:spacing w:before="0" w:after="283"/>
              <w:jc w:val="left"/>
              <w:rPr>
                <w:sz w:val="4"/>
                <w:szCs w:val="4"/>
              </w:rPr>
            </w:pPr>
            <w:r>
              <w:rPr>
                <w:sz w:val="4"/>
                <w:szCs w:val="4"/>
              </w:rPr>
            </w:r>
          </w:p>
        </w:tc>
      </w:tr>
      <w:tr>
        <w:trPr/>
        <w:tc>
          <w:tcPr>
            <w:tcW w:w="620" w:type="dxa"/>
            <w:tcBorders/>
            <w:vAlign w:val="center"/>
          </w:tcPr>
          <w:p>
            <w:pPr>
              <w:pStyle w:val="TableContents"/>
              <w:bidi w:val="0"/>
              <w:spacing w:before="0" w:after="283"/>
              <w:jc w:val="left"/>
              <w:rPr/>
            </w:pPr>
            <w:r>
              <w:rPr/>
              <w:t>104</w:t>
            </w:r>
          </w:p>
        </w:tc>
        <w:tc>
          <w:tcPr>
            <w:tcW w:w="120" w:type="dxa"/>
            <w:tcBorders/>
            <w:vAlign w:val="center"/>
          </w:tcPr>
          <w:p>
            <w:pPr>
              <w:pStyle w:val="TableContents"/>
              <w:bidi w:val="0"/>
              <w:spacing w:before="0" w:after="283"/>
              <w:jc w:val="left"/>
              <w:rPr/>
            </w:pPr>
            <w:r>
              <w:rPr/>
              <w:t>  </w:t>
            </w:r>
          </w:p>
        </w:tc>
        <w:tc>
          <w:tcPr>
            <w:tcW w:w="9465" w:type="dxa"/>
            <w:tcBorders/>
            <w:vAlign w:val="center"/>
          </w:tcPr>
          <w:p>
            <w:pPr>
              <w:pStyle w:val="TableContents"/>
              <w:bidi w:val="0"/>
              <w:spacing w:before="0" w:after="283"/>
              <w:jc w:val="left"/>
              <w:rPr/>
            </w:pPr>
            <w:r>
              <w:rPr/>
              <w:t>Cover Page Interactive Data File (embedded within the Inline XBRL document)</w:t>
            </w:r>
          </w:p>
        </w:tc>
      </w:tr>
    </w:tbl>
    <w:p>
      <w:pPr>
        <w:pStyle w:val="TextBody"/>
        <w:bidi w:val="0"/>
        <w:spacing w:before="0" w:after="0"/>
        <w:jc w:val="left"/>
        <w:rPr/>
      </w:pPr>
      <w:r>
        <w:rPr/>
        <w:t> </w:t>
      </w:r>
      <w:r>
        <w:br w:type="page"/>
      </w:r>
    </w:p>
    <w:p>
      <w:pPr>
        <w:pStyle w:val="HorizontalLine"/>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SIGNATURES </w:t>
      </w:r>
    </w:p>
    <w:p>
      <w:pPr>
        <w:pStyle w:val="TextBody"/>
        <w:bidi w:val="0"/>
        <w:spacing w:before="240" w:after="0"/>
        <w:jc w:val="left"/>
        <w:rPr>
          <w:rFonts w:ascii="Times New Roman" w:hAnsi="Times New Roman"/>
          <w:sz w:val="20"/>
        </w:rPr>
      </w:pPr>
      <w:r>
        <w:rPr>
          <w:rFonts w:ascii="Times New Roman" w:hAnsi="Times New Roman"/>
          <w:sz w:val="20"/>
        </w:rPr>
        <w:t xml:space="preserve">Pursuant to the requirements of the Securities Exchange Act of 1934, the registrant has duly caused this report to be signed on its behalf by the undersigned hereunto duly authorized. </w:t>
      </w:r>
    </w:p>
    <w:p>
      <w:pPr>
        <w:pStyle w:val="TextBody"/>
        <w:bidi w:val="0"/>
        <w:spacing w:before="0" w:after="0"/>
        <w:jc w:val="left"/>
        <w:rPr/>
      </w:pPr>
      <w:r>
        <w:rPr/>
        <w:t> </w:t>
      </w:r>
    </w:p>
    <w:tbl>
      <w:tblPr>
        <w:tblW w:w="5927" w:type="dxa"/>
        <w:jc w:val="left"/>
        <w:tblInd w:w="0" w:type="dxa"/>
        <w:tblLayout w:type="fixed"/>
        <w:tblCellMar>
          <w:top w:w="0" w:type="dxa"/>
          <w:left w:w="0" w:type="dxa"/>
          <w:bottom w:w="0" w:type="dxa"/>
          <w:right w:w="0" w:type="dxa"/>
        </w:tblCellMar>
      </w:tblPr>
      <w:tblGrid>
        <w:gridCol w:w="1940"/>
        <w:gridCol w:w="60"/>
        <w:gridCol w:w="23"/>
        <w:gridCol w:w="60"/>
        <w:gridCol w:w="515"/>
        <w:gridCol w:w="84"/>
        <w:gridCol w:w="3245"/>
      </w:tblGrid>
      <w:tr>
        <w:trPr/>
        <w:tc>
          <w:tcPr>
            <w:tcW w:w="194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515" w:type="dxa"/>
            <w:tcBorders/>
            <w:vAlign w:val="center"/>
          </w:tcPr>
          <w:p>
            <w:pPr>
              <w:pStyle w:val="TableContents"/>
              <w:bidi w:val="0"/>
              <w:spacing w:before="0" w:after="283"/>
              <w:jc w:val="left"/>
              <w:rPr>
                <w:sz w:val="4"/>
                <w:szCs w:val="4"/>
              </w:rPr>
            </w:pPr>
            <w:r>
              <w:rPr>
                <w:sz w:val="4"/>
                <w:szCs w:val="4"/>
              </w:rPr>
            </w:r>
          </w:p>
        </w:tc>
        <w:tc>
          <w:tcPr>
            <w:tcW w:w="84" w:type="dxa"/>
            <w:tcBorders/>
            <w:vAlign w:val="center"/>
          </w:tcPr>
          <w:p>
            <w:pPr>
              <w:pStyle w:val="TableContents"/>
              <w:bidi w:val="0"/>
              <w:spacing w:before="0" w:after="283"/>
              <w:jc w:val="left"/>
              <w:rPr>
                <w:sz w:val="4"/>
                <w:szCs w:val="4"/>
              </w:rPr>
            </w:pPr>
            <w:r>
              <w:rPr>
                <w:sz w:val="4"/>
                <w:szCs w:val="4"/>
              </w:rPr>
            </w:r>
          </w:p>
        </w:tc>
        <w:tc>
          <w:tcPr>
            <w:tcW w:w="3245" w:type="dxa"/>
            <w:tcBorders/>
            <w:vAlign w:val="center"/>
          </w:tcPr>
          <w:p>
            <w:pPr>
              <w:pStyle w:val="TableContents"/>
              <w:bidi w:val="0"/>
              <w:spacing w:before="0" w:after="283"/>
              <w:jc w:val="left"/>
              <w:rPr>
                <w:sz w:val="4"/>
                <w:szCs w:val="4"/>
              </w:rPr>
            </w:pPr>
            <w:r>
              <w:rPr>
                <w:sz w:val="4"/>
                <w:szCs w:val="4"/>
              </w:rPr>
            </w:r>
          </w:p>
        </w:tc>
      </w:tr>
      <w:tr>
        <w:trPr/>
        <w:tc>
          <w:tcPr>
            <w:tcW w:w="194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3844" w:type="dxa"/>
            <w:gridSpan w:val="3"/>
            <w:tcBorders/>
            <w:vAlign w:val="center"/>
          </w:tcPr>
          <w:p>
            <w:pPr>
              <w:pStyle w:val="TableContents"/>
              <w:bidi w:val="0"/>
              <w:spacing w:before="0" w:after="283"/>
              <w:jc w:val="left"/>
              <w:rPr/>
            </w:pPr>
            <w:r>
              <w:rPr/>
              <w:t>AGIOS PHARMACEUTICALS, INC.</w:t>
            </w:r>
          </w:p>
        </w:tc>
      </w:tr>
      <w:tr>
        <w:trPr/>
        <w:tc>
          <w:tcPr>
            <w:tcW w:w="1940" w:type="dxa"/>
            <w:tcBorders/>
            <w:vAlign w:val="center"/>
          </w:tcPr>
          <w:p>
            <w:pPr>
              <w:pStyle w:val="TableContents"/>
              <w:bidi w:val="0"/>
              <w:spacing w:before="0" w:after="283"/>
              <w:jc w:val="left"/>
              <w:rPr>
                <w:sz w:val="4"/>
                <w:szCs w:val="4"/>
              </w:rPr>
            </w:pPr>
            <w:r>
              <w:rPr>
                <w:sz w:val="4"/>
                <w:szCs w:val="4"/>
              </w:rPr>
            </w:r>
          </w:p>
        </w:tc>
        <w:tc>
          <w:tcPr>
            <w:tcW w:w="83" w:type="dxa"/>
            <w:gridSpan w:val="2"/>
            <w:tcBorders/>
            <w:vAlign w:val="center"/>
          </w:tcPr>
          <w:p>
            <w:pPr>
              <w:pStyle w:val="TableContents"/>
              <w:bidi w:val="0"/>
              <w:spacing w:before="0" w:after="283"/>
              <w:jc w:val="left"/>
              <w:rPr>
                <w:sz w:val="4"/>
                <w:szCs w:val="4"/>
              </w:rPr>
            </w:pPr>
            <w:r>
              <w:rPr>
                <w:sz w:val="4"/>
                <w:szCs w:val="4"/>
              </w:rPr>
            </w:r>
          </w:p>
        </w:tc>
        <w:tc>
          <w:tcPr>
            <w:tcW w:w="575" w:type="dxa"/>
            <w:gridSpan w:val="2"/>
            <w:tcBorders/>
            <w:vAlign w:val="center"/>
          </w:tcPr>
          <w:p>
            <w:pPr>
              <w:pStyle w:val="TableContents"/>
              <w:bidi w:val="0"/>
              <w:spacing w:before="0" w:after="283"/>
              <w:jc w:val="left"/>
              <w:rPr>
                <w:sz w:val="4"/>
                <w:szCs w:val="4"/>
              </w:rPr>
            </w:pPr>
            <w:r>
              <w:rPr>
                <w:sz w:val="4"/>
                <w:szCs w:val="4"/>
              </w:rPr>
            </w:r>
          </w:p>
        </w:tc>
        <w:tc>
          <w:tcPr>
            <w:tcW w:w="3329" w:type="dxa"/>
            <w:gridSpan w:val="2"/>
            <w:tcBorders/>
            <w:vAlign w:val="center"/>
          </w:tcPr>
          <w:p>
            <w:pPr>
              <w:pStyle w:val="TableContents"/>
              <w:bidi w:val="0"/>
              <w:spacing w:before="0" w:after="283"/>
              <w:jc w:val="left"/>
              <w:rPr>
                <w:sz w:val="4"/>
                <w:szCs w:val="4"/>
              </w:rPr>
            </w:pPr>
            <w:r>
              <w:rPr>
                <w:sz w:val="4"/>
                <w:szCs w:val="4"/>
              </w:rPr>
            </w:r>
          </w:p>
        </w:tc>
      </w:tr>
      <w:tr>
        <w:trPr/>
        <w:tc>
          <w:tcPr>
            <w:tcW w:w="1940" w:type="dxa"/>
            <w:tcBorders/>
            <w:vAlign w:val="center"/>
          </w:tcPr>
          <w:p>
            <w:pPr>
              <w:pStyle w:val="TableContents"/>
              <w:bidi w:val="0"/>
              <w:spacing w:before="0" w:after="283"/>
              <w:jc w:val="left"/>
              <w:rPr/>
            </w:pPr>
            <w:r>
              <w:rPr/>
              <w:t>Date: June 18, 2026</w:t>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515" w:type="dxa"/>
            <w:tcBorders/>
            <w:vAlign w:val="center"/>
          </w:tcPr>
          <w:p>
            <w:pPr>
              <w:pStyle w:val="TableContents"/>
              <w:bidi w:val="0"/>
              <w:spacing w:before="0" w:after="283"/>
              <w:jc w:val="left"/>
              <w:rPr/>
            </w:pPr>
            <w:r>
              <w:rPr/>
              <w:t>By:</w:t>
            </w:r>
          </w:p>
        </w:tc>
        <w:tc>
          <w:tcPr>
            <w:tcW w:w="84" w:type="dxa"/>
            <w:tcBorders/>
            <w:vAlign w:val="center"/>
          </w:tcPr>
          <w:p>
            <w:pPr>
              <w:pStyle w:val="TableContents"/>
              <w:bidi w:val="0"/>
              <w:spacing w:before="0" w:after="283"/>
              <w:jc w:val="left"/>
              <w:rPr/>
            </w:pPr>
            <w:r>
              <w:rPr/>
              <w:t> </w:t>
            </w:r>
          </w:p>
        </w:tc>
        <w:tc>
          <w:tcPr>
            <w:tcW w:w="3245" w:type="dxa"/>
            <w:tcBorders/>
            <w:vAlign w:val="center"/>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Brian Goff</w:t>
            </w:r>
          </w:p>
        </w:tc>
      </w:tr>
      <w:tr>
        <w:trPr/>
        <w:tc>
          <w:tcPr>
            <w:tcW w:w="194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515" w:type="dxa"/>
            <w:tcBorders/>
            <w:vAlign w:val="center"/>
          </w:tcPr>
          <w:p>
            <w:pPr>
              <w:pStyle w:val="TableContents"/>
              <w:bidi w:val="0"/>
              <w:spacing w:before="0" w:after="283"/>
              <w:jc w:val="left"/>
              <w:rPr>
                <w:sz w:val="4"/>
                <w:szCs w:val="4"/>
              </w:rPr>
            </w:pPr>
            <w:r>
              <w:rPr>
                <w:sz w:val="4"/>
                <w:szCs w:val="4"/>
              </w:rPr>
            </w:r>
          </w:p>
        </w:tc>
        <w:tc>
          <w:tcPr>
            <w:tcW w:w="84" w:type="dxa"/>
            <w:tcBorders/>
            <w:vAlign w:val="center"/>
          </w:tcPr>
          <w:p>
            <w:pPr>
              <w:pStyle w:val="TableContents"/>
              <w:bidi w:val="0"/>
              <w:spacing w:before="0" w:after="283"/>
              <w:jc w:val="left"/>
              <w:rPr/>
            </w:pPr>
            <w:r>
              <w:rPr/>
              <w:t> </w:t>
            </w:r>
          </w:p>
        </w:tc>
        <w:tc>
          <w:tcPr>
            <w:tcW w:w="3245" w:type="dxa"/>
            <w:tcBorders/>
            <w:vAlign w:val="center"/>
          </w:tcPr>
          <w:p>
            <w:pPr>
              <w:pStyle w:val="TableContents"/>
              <w:bidi w:val="0"/>
              <w:spacing w:before="0" w:after="283"/>
              <w:jc w:val="left"/>
              <w:rPr/>
            </w:pPr>
            <w:r>
              <w:rPr/>
              <w:t>Brian Goff</w:t>
            </w:r>
          </w:p>
        </w:tc>
      </w:tr>
      <w:tr>
        <w:trPr/>
        <w:tc>
          <w:tcPr>
            <w:tcW w:w="194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515" w:type="dxa"/>
            <w:tcBorders/>
            <w:vAlign w:val="center"/>
          </w:tcPr>
          <w:p>
            <w:pPr>
              <w:pStyle w:val="TableContents"/>
              <w:bidi w:val="0"/>
              <w:spacing w:before="0" w:after="283"/>
              <w:jc w:val="left"/>
              <w:rPr>
                <w:sz w:val="4"/>
                <w:szCs w:val="4"/>
              </w:rPr>
            </w:pPr>
            <w:r>
              <w:rPr>
                <w:sz w:val="4"/>
                <w:szCs w:val="4"/>
              </w:rPr>
            </w:r>
          </w:p>
        </w:tc>
        <w:tc>
          <w:tcPr>
            <w:tcW w:w="84" w:type="dxa"/>
            <w:tcBorders/>
            <w:vAlign w:val="center"/>
          </w:tcPr>
          <w:p>
            <w:pPr>
              <w:pStyle w:val="TableContents"/>
              <w:bidi w:val="0"/>
              <w:spacing w:before="0" w:after="283"/>
              <w:jc w:val="left"/>
              <w:rPr/>
            </w:pPr>
            <w:r>
              <w:rPr/>
              <w:t> </w:t>
            </w:r>
          </w:p>
        </w:tc>
        <w:tc>
          <w:tcPr>
            <w:tcW w:w="3245" w:type="dxa"/>
            <w:tcBorders/>
            <w:vAlign w:val="center"/>
          </w:tcPr>
          <w:p>
            <w:pPr>
              <w:pStyle w:val="TableContents"/>
              <w:bidi w:val="0"/>
              <w:spacing w:before="0" w:after="283"/>
              <w:jc w:val="left"/>
              <w:rPr/>
            </w:pPr>
            <w:r>
              <w:rPr/>
              <w:t>Chief Executive Officer</w:t>
            </w:r>
          </w:p>
        </w:tc>
      </w:tr>
    </w:tbl>
    <w:p>
      <w:pPr>
        <w:pStyle w:val="TextBody"/>
        <w:bidi w:val="0"/>
        <w:spacing w:before="0" w:after="283"/>
        <w:jc w:val="left"/>
        <w:rPr/>
      </w:pPr>
      <w:r>
        <w:rPr/>
      </w:r>
      <w:r>
        <w:br w:type="page"/>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www.sec.gov/Archives/edgar/data/../../../ix?doc=/Archives/edgar/data/0001439222/000119312526177086/d943609ddef14a.htm" TargetMode="External"/><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4</Pages>
  <Words>864</Words>
  <Characters>4846</Characters>
  <CharactersWithSpaces>5712</CharactersWithSpaces>
  <Paragraphs>208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